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2E" w:rsidRDefault="0046491C" w:rsidP="00E34F08">
      <w:pPr>
        <w:spacing w:after="0" w:line="360" w:lineRule="auto"/>
        <w:jc w:val="both"/>
        <w:rPr>
          <w:rFonts w:ascii="Palatino Linotype" w:hAnsi="Palatino Linotype" w:cs="Arial"/>
          <w:b/>
          <w:sz w:val="24"/>
          <w:szCs w:val="24"/>
        </w:rPr>
      </w:pPr>
      <w:bookmarkStart w:id="0" w:name="_GoBack"/>
      <w:bookmarkEnd w:id="0"/>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047D2A">
        <w:rPr>
          <w:rFonts w:ascii="Palatino Linotype" w:hAnsi="Palatino Linotype" w:cs="Arial"/>
          <w:b/>
          <w:sz w:val="24"/>
          <w:szCs w:val="24"/>
        </w:rPr>
        <w:t>00357</w:t>
      </w:r>
      <w:r w:rsidR="00C7250F" w:rsidRPr="0009123A">
        <w:rPr>
          <w:rFonts w:ascii="Palatino Linotype" w:hAnsi="Palatino Linotype" w:cs="Arial"/>
          <w:b/>
          <w:sz w:val="24"/>
          <w:szCs w:val="24"/>
        </w:rPr>
        <w:t>/INFOEM/IP/RR/201</w:t>
      </w:r>
      <w:r w:rsidR="00047D2A">
        <w:rPr>
          <w:rFonts w:ascii="Palatino Linotype" w:hAnsi="Palatino Linotype" w:cs="Arial"/>
          <w:b/>
          <w:sz w:val="24"/>
          <w:szCs w:val="24"/>
        </w:rPr>
        <w:t>9.</w:t>
      </w:r>
    </w:p>
    <w:p w:rsidR="00C55BF5" w:rsidRPr="0009123A" w:rsidRDefault="00C55BF5"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0E57DB">
      <w:pPr>
        <w:spacing w:after="0" w:line="276"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83373E">
      <w:pPr>
        <w:spacing w:after="0" w:line="360" w:lineRule="auto"/>
        <w:jc w:val="both"/>
        <w:rPr>
          <w:rFonts w:ascii="Palatino Linotype" w:hAnsi="Palatino Linotype" w:cs="Arial"/>
          <w:sz w:val="24"/>
          <w:szCs w:val="24"/>
        </w:rPr>
      </w:pPr>
    </w:p>
    <w:p w:rsidR="0046491C" w:rsidRPr="0009123A"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83373E">
      <w:pPr>
        <w:spacing w:after="0" w:line="360" w:lineRule="auto"/>
        <w:jc w:val="both"/>
        <w:rPr>
          <w:rFonts w:ascii="Palatino Linotype" w:hAnsi="Palatino Linotype" w:cs="Arial"/>
          <w:sz w:val="24"/>
          <w:szCs w:val="24"/>
        </w:rPr>
      </w:pPr>
    </w:p>
    <w:p w:rsidR="0046491C" w:rsidRDefault="0046491C" w:rsidP="0083373E">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83373E" w:rsidRDefault="0083373E" w:rsidP="0083373E">
      <w:pPr>
        <w:spacing w:after="0" w:line="360" w:lineRule="auto"/>
        <w:jc w:val="both"/>
        <w:rPr>
          <w:rFonts w:ascii="Palatino Linotype" w:hAnsi="Palatino Linotype" w:cs="Arial"/>
          <w:sz w:val="24"/>
          <w:szCs w:val="24"/>
        </w:rPr>
      </w:pPr>
    </w:p>
    <w:p w:rsidR="0083373E" w:rsidRPr="0009123A" w:rsidRDefault="0083373E" w:rsidP="0083373E">
      <w:pPr>
        <w:spacing w:after="0" w:line="360" w:lineRule="auto"/>
        <w:jc w:val="both"/>
        <w:rPr>
          <w:rFonts w:ascii="Palatino Linotype" w:hAnsi="Palatino Linotype" w:cs="Arial"/>
          <w:sz w:val="24"/>
          <w:szCs w:val="24"/>
        </w:rPr>
      </w:pPr>
      <w:r w:rsidRPr="00427B79">
        <w:rPr>
          <w:rFonts w:ascii="Palatino Linotype" w:eastAsia="Calibri"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702BD9" w:rsidRDefault="0083373E" w:rsidP="00E34F0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520</wp:posOffset>
                </wp:positionH>
                <wp:positionV relativeFrom="paragraph">
                  <wp:posOffset>123560</wp:posOffset>
                </wp:positionV>
                <wp:extent cx="5522026" cy="4619501"/>
                <wp:effectExtent l="19050" t="19050" r="21590" b="29210"/>
                <wp:wrapNone/>
                <wp:docPr id="1" name="Conector recto 1"/>
                <wp:cNvGraphicFramePr/>
                <a:graphic xmlns:a="http://schemas.openxmlformats.org/drawingml/2006/main">
                  <a:graphicData uri="http://schemas.microsoft.com/office/word/2010/wordprocessingShape">
                    <wps:wsp>
                      <wps:cNvCnPr/>
                      <wps:spPr>
                        <a:xfrm>
                          <a:off x="0" y="0"/>
                          <a:ext cx="5522026" cy="46195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8F75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9.75pt" to="434.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" strokecolor="#5b9bd5 [3204]" strokeweight="3pt">
                <v:stroke joinstyle="miter"/>
              </v:line>
            </w:pict>
          </mc:Fallback>
        </mc:AlternateContent>
      </w: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83373E" w:rsidRDefault="0083373E" w:rsidP="00E34F08">
      <w:pPr>
        <w:spacing w:after="0" w:line="360" w:lineRule="auto"/>
        <w:jc w:val="both"/>
        <w:rPr>
          <w:rFonts w:ascii="Palatino Linotype" w:hAnsi="Palatino Linotype" w:cs="Arial"/>
          <w:sz w:val="24"/>
          <w:szCs w:val="24"/>
        </w:rPr>
      </w:pPr>
    </w:p>
    <w:p w:rsidR="00047D2A" w:rsidRDefault="00047D2A" w:rsidP="00E34F08">
      <w:pPr>
        <w:spacing w:after="0" w:line="360" w:lineRule="auto"/>
        <w:jc w:val="both"/>
        <w:rPr>
          <w:rFonts w:ascii="Palatino Linotype" w:hAnsi="Palatino Linotype" w:cs="Arial"/>
          <w:sz w:val="24"/>
          <w:szCs w:val="24"/>
        </w:rPr>
      </w:pPr>
    </w:p>
    <w:p w:rsidR="0083373E" w:rsidRPr="0009123A" w:rsidRDefault="0083373E"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E57DB" w:rsidRDefault="0046491C" w:rsidP="000E57DB">
      <w:pPr>
        <w:spacing w:after="0" w:line="600" w:lineRule="auto"/>
        <w:jc w:val="both"/>
        <w:rPr>
          <w:rFonts w:ascii="Palatino Linotype" w:hAnsi="Palatino Linotype" w:cs="Arial"/>
          <w:sz w:val="24"/>
          <w:szCs w:val="24"/>
        </w:rPr>
      </w:pPr>
      <w:r w:rsidRPr="000E57DB">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E57DB" w:rsidRDefault="0046491C" w:rsidP="000E57DB">
          <w:pPr>
            <w:pStyle w:val="TtulodeTDC"/>
            <w:spacing w:line="600" w:lineRule="auto"/>
            <w:rPr>
              <w:rFonts w:ascii="Palatino Linotype" w:hAnsi="Palatino Linotype"/>
              <w:sz w:val="24"/>
              <w:szCs w:val="24"/>
            </w:rPr>
          </w:pPr>
        </w:p>
        <w:p w:rsidR="003D7066" w:rsidRDefault="0046491C">
          <w:pPr>
            <w:pStyle w:val="TDC1"/>
            <w:tabs>
              <w:tab w:val="left" w:pos="440"/>
              <w:tab w:val="right" w:leader="dot" w:pos="8828"/>
            </w:tabs>
            <w:rPr>
              <w:rFonts w:eastAsiaTheme="minorEastAsia"/>
              <w:noProof/>
              <w:lang w:eastAsia="es-MX"/>
            </w:rPr>
          </w:pPr>
          <w:r w:rsidRPr="000E57DB">
            <w:rPr>
              <w:rFonts w:ascii="Palatino Linotype" w:hAnsi="Palatino Linotype"/>
              <w:sz w:val="24"/>
              <w:szCs w:val="24"/>
            </w:rPr>
            <w:fldChar w:fldCharType="begin"/>
          </w:r>
          <w:r w:rsidRPr="000E57DB">
            <w:rPr>
              <w:rFonts w:ascii="Palatino Linotype" w:hAnsi="Palatino Linotype"/>
              <w:sz w:val="24"/>
              <w:szCs w:val="24"/>
            </w:rPr>
            <w:instrText xml:space="preserve"> TOC \o "1-3" \h \z \u </w:instrText>
          </w:r>
          <w:r w:rsidRPr="000E57DB">
            <w:rPr>
              <w:rFonts w:ascii="Palatino Linotype" w:hAnsi="Palatino Linotype"/>
              <w:sz w:val="24"/>
              <w:szCs w:val="24"/>
            </w:rPr>
            <w:fldChar w:fldCharType="separate"/>
          </w:r>
          <w:hyperlink w:anchor="_Toc4753402" w:history="1">
            <w:r w:rsidR="003D7066" w:rsidRPr="00042543">
              <w:rPr>
                <w:rStyle w:val="Hipervnculo"/>
                <w:rFonts w:ascii="Palatino Linotype" w:hAnsi="Palatino Linotype"/>
                <w:b/>
                <w:noProof/>
              </w:rPr>
              <w:t>I.</w:t>
            </w:r>
            <w:r w:rsidR="003D7066">
              <w:rPr>
                <w:rFonts w:eastAsiaTheme="minorEastAsia"/>
                <w:noProof/>
                <w:lang w:eastAsia="es-MX"/>
              </w:rPr>
              <w:tab/>
            </w:r>
            <w:r w:rsidR="003D7066" w:rsidRPr="00042543">
              <w:rPr>
                <w:rStyle w:val="Hipervnculo"/>
                <w:rFonts w:ascii="Palatino Linotype" w:hAnsi="Palatino Linotype"/>
                <w:b/>
                <w:noProof/>
              </w:rPr>
              <w:t>Consideraciones Generales.</w:t>
            </w:r>
            <w:r w:rsidR="003D7066">
              <w:rPr>
                <w:noProof/>
                <w:webHidden/>
              </w:rPr>
              <w:tab/>
            </w:r>
            <w:r w:rsidR="003D7066">
              <w:rPr>
                <w:noProof/>
                <w:webHidden/>
              </w:rPr>
              <w:fldChar w:fldCharType="begin"/>
            </w:r>
            <w:r w:rsidR="003D7066">
              <w:rPr>
                <w:noProof/>
                <w:webHidden/>
              </w:rPr>
              <w:instrText xml:space="preserve"> PAGEREF _Toc4753402 \h </w:instrText>
            </w:r>
            <w:r w:rsidR="003D7066">
              <w:rPr>
                <w:noProof/>
                <w:webHidden/>
              </w:rPr>
            </w:r>
            <w:r w:rsidR="003D7066">
              <w:rPr>
                <w:noProof/>
                <w:webHidden/>
              </w:rPr>
              <w:fldChar w:fldCharType="separate"/>
            </w:r>
            <w:r w:rsidR="005D395D">
              <w:rPr>
                <w:noProof/>
                <w:webHidden/>
              </w:rPr>
              <w:t>4</w:t>
            </w:r>
            <w:r w:rsidR="003D7066">
              <w:rPr>
                <w:noProof/>
                <w:webHidden/>
              </w:rPr>
              <w:fldChar w:fldCharType="end"/>
            </w:r>
          </w:hyperlink>
        </w:p>
        <w:p w:rsidR="003D7066" w:rsidRDefault="00975456">
          <w:pPr>
            <w:pStyle w:val="TDC1"/>
            <w:tabs>
              <w:tab w:val="left" w:pos="660"/>
              <w:tab w:val="right" w:leader="dot" w:pos="8828"/>
            </w:tabs>
            <w:rPr>
              <w:rFonts w:eastAsiaTheme="minorEastAsia"/>
              <w:noProof/>
              <w:lang w:eastAsia="es-MX"/>
            </w:rPr>
          </w:pPr>
          <w:hyperlink w:anchor="_Toc4753403" w:history="1">
            <w:r w:rsidR="003D7066" w:rsidRPr="00042543">
              <w:rPr>
                <w:rStyle w:val="Hipervnculo"/>
                <w:rFonts w:ascii="Palatino Linotype" w:hAnsi="Palatino Linotype"/>
                <w:b/>
                <w:noProof/>
              </w:rPr>
              <w:t>II.</w:t>
            </w:r>
            <w:r w:rsidR="003D7066">
              <w:rPr>
                <w:rFonts w:eastAsiaTheme="minorEastAsia"/>
                <w:noProof/>
                <w:lang w:eastAsia="es-MX"/>
              </w:rPr>
              <w:tab/>
            </w:r>
            <w:r w:rsidR="003D7066" w:rsidRPr="00042543">
              <w:rPr>
                <w:rStyle w:val="Hipervnculo"/>
                <w:rFonts w:ascii="Palatino Linotype" w:hAnsi="Palatino Linotype"/>
                <w:b/>
                <w:noProof/>
              </w:rPr>
              <w:t>De los requerimientos planteados en el recurso de revisión.</w:t>
            </w:r>
            <w:r w:rsidR="003D7066">
              <w:rPr>
                <w:noProof/>
                <w:webHidden/>
              </w:rPr>
              <w:tab/>
            </w:r>
            <w:r w:rsidR="003D7066">
              <w:rPr>
                <w:noProof/>
                <w:webHidden/>
              </w:rPr>
              <w:fldChar w:fldCharType="begin"/>
            </w:r>
            <w:r w:rsidR="003D7066">
              <w:rPr>
                <w:noProof/>
                <w:webHidden/>
              </w:rPr>
              <w:instrText xml:space="preserve"> PAGEREF _Toc4753403 \h </w:instrText>
            </w:r>
            <w:r w:rsidR="003D7066">
              <w:rPr>
                <w:noProof/>
                <w:webHidden/>
              </w:rPr>
            </w:r>
            <w:r w:rsidR="003D7066">
              <w:rPr>
                <w:noProof/>
                <w:webHidden/>
              </w:rPr>
              <w:fldChar w:fldCharType="separate"/>
            </w:r>
            <w:r w:rsidR="005D395D">
              <w:rPr>
                <w:noProof/>
                <w:webHidden/>
              </w:rPr>
              <w:t>5</w:t>
            </w:r>
            <w:r w:rsidR="003D7066">
              <w:rPr>
                <w:noProof/>
                <w:webHidden/>
              </w:rPr>
              <w:fldChar w:fldCharType="end"/>
            </w:r>
          </w:hyperlink>
        </w:p>
        <w:p w:rsidR="003D7066" w:rsidRDefault="00975456">
          <w:pPr>
            <w:pStyle w:val="TDC1"/>
            <w:tabs>
              <w:tab w:val="left" w:pos="660"/>
              <w:tab w:val="right" w:leader="dot" w:pos="8828"/>
            </w:tabs>
            <w:rPr>
              <w:rFonts w:eastAsiaTheme="minorEastAsia"/>
              <w:noProof/>
              <w:lang w:eastAsia="es-MX"/>
            </w:rPr>
          </w:pPr>
          <w:hyperlink w:anchor="_Toc4753404" w:history="1">
            <w:r w:rsidR="003D7066" w:rsidRPr="00042543">
              <w:rPr>
                <w:rStyle w:val="Hipervnculo"/>
                <w:rFonts w:ascii="Palatino Linotype" w:eastAsia="Calibri" w:hAnsi="Palatino Linotype"/>
                <w:b/>
                <w:noProof/>
                <w:lang w:val="es-ES" w:eastAsia="es-ES_tradnl"/>
              </w:rPr>
              <w:t>III.</w:t>
            </w:r>
            <w:r w:rsidR="003D7066">
              <w:rPr>
                <w:rFonts w:eastAsiaTheme="minorEastAsia"/>
                <w:noProof/>
                <w:lang w:eastAsia="es-MX"/>
              </w:rPr>
              <w:tab/>
            </w:r>
            <w:r w:rsidR="003D7066" w:rsidRPr="00042543">
              <w:rPr>
                <w:rStyle w:val="Hipervnculo"/>
                <w:rFonts w:ascii="Palatino Linotype" w:eastAsia="Calibri" w:hAnsi="Palatino Linotype"/>
                <w:b/>
                <w:noProof/>
                <w:lang w:val="es-ES" w:eastAsia="es-ES_tradnl"/>
              </w:rPr>
              <w:t>Actos Consentidos.</w:t>
            </w:r>
            <w:r w:rsidR="003D7066">
              <w:rPr>
                <w:noProof/>
                <w:webHidden/>
              </w:rPr>
              <w:tab/>
            </w:r>
            <w:r w:rsidR="003D7066">
              <w:rPr>
                <w:noProof/>
                <w:webHidden/>
              </w:rPr>
              <w:fldChar w:fldCharType="begin"/>
            </w:r>
            <w:r w:rsidR="003D7066">
              <w:rPr>
                <w:noProof/>
                <w:webHidden/>
              </w:rPr>
              <w:instrText xml:space="preserve"> PAGEREF _Toc4753404 \h </w:instrText>
            </w:r>
            <w:r w:rsidR="003D7066">
              <w:rPr>
                <w:noProof/>
                <w:webHidden/>
              </w:rPr>
            </w:r>
            <w:r w:rsidR="003D7066">
              <w:rPr>
                <w:noProof/>
                <w:webHidden/>
              </w:rPr>
              <w:fldChar w:fldCharType="separate"/>
            </w:r>
            <w:r w:rsidR="005D395D">
              <w:rPr>
                <w:noProof/>
                <w:webHidden/>
              </w:rPr>
              <w:t>6</w:t>
            </w:r>
            <w:r w:rsidR="003D7066">
              <w:rPr>
                <w:noProof/>
                <w:webHidden/>
              </w:rPr>
              <w:fldChar w:fldCharType="end"/>
            </w:r>
          </w:hyperlink>
        </w:p>
        <w:p w:rsidR="003D7066" w:rsidRDefault="00975456">
          <w:pPr>
            <w:pStyle w:val="TDC2"/>
            <w:tabs>
              <w:tab w:val="left" w:pos="660"/>
              <w:tab w:val="right" w:leader="dot" w:pos="8828"/>
            </w:tabs>
            <w:rPr>
              <w:rFonts w:eastAsiaTheme="minorEastAsia"/>
              <w:noProof/>
              <w:lang w:eastAsia="es-MX"/>
            </w:rPr>
          </w:pPr>
          <w:hyperlink w:anchor="_Toc4753405" w:history="1">
            <w:r w:rsidR="003D7066" w:rsidRPr="00042543">
              <w:rPr>
                <w:rStyle w:val="Hipervnculo"/>
                <w:rFonts w:ascii="Palatino Linotype" w:hAnsi="Palatino Linotype"/>
                <w:b/>
                <w:noProof/>
              </w:rPr>
              <w:t>i.</w:t>
            </w:r>
            <w:r w:rsidR="003D7066">
              <w:rPr>
                <w:rFonts w:eastAsiaTheme="minorEastAsia"/>
                <w:noProof/>
                <w:lang w:eastAsia="es-MX"/>
              </w:rPr>
              <w:tab/>
            </w:r>
            <w:r w:rsidR="003D7066" w:rsidRPr="00042543">
              <w:rPr>
                <w:rStyle w:val="Hipervnculo"/>
                <w:rFonts w:ascii="Palatino Linotype" w:hAnsi="Palatino Linotype"/>
                <w:b/>
                <w:noProof/>
              </w:rPr>
              <w:t>Los actos consentidos no deben invocarse en el derecho fundamental de acceder a la información pública gubernamental.</w:t>
            </w:r>
            <w:r w:rsidR="003D7066">
              <w:rPr>
                <w:noProof/>
                <w:webHidden/>
              </w:rPr>
              <w:tab/>
            </w:r>
            <w:r w:rsidR="003D7066">
              <w:rPr>
                <w:noProof/>
                <w:webHidden/>
              </w:rPr>
              <w:fldChar w:fldCharType="begin"/>
            </w:r>
            <w:r w:rsidR="003D7066">
              <w:rPr>
                <w:noProof/>
                <w:webHidden/>
              </w:rPr>
              <w:instrText xml:space="preserve"> PAGEREF _Toc4753405 \h </w:instrText>
            </w:r>
            <w:r w:rsidR="003D7066">
              <w:rPr>
                <w:noProof/>
                <w:webHidden/>
              </w:rPr>
            </w:r>
            <w:r w:rsidR="003D7066">
              <w:rPr>
                <w:noProof/>
                <w:webHidden/>
              </w:rPr>
              <w:fldChar w:fldCharType="separate"/>
            </w:r>
            <w:r w:rsidR="005D395D">
              <w:rPr>
                <w:noProof/>
                <w:webHidden/>
              </w:rPr>
              <w:t>9</w:t>
            </w:r>
            <w:r w:rsidR="003D7066">
              <w:rPr>
                <w:noProof/>
                <w:webHidden/>
              </w:rPr>
              <w:fldChar w:fldCharType="end"/>
            </w:r>
          </w:hyperlink>
        </w:p>
        <w:p w:rsidR="003D7066" w:rsidRDefault="00975456">
          <w:pPr>
            <w:pStyle w:val="TDC1"/>
            <w:tabs>
              <w:tab w:val="left" w:pos="660"/>
              <w:tab w:val="right" w:leader="dot" w:pos="8828"/>
            </w:tabs>
            <w:rPr>
              <w:rFonts w:eastAsiaTheme="minorEastAsia"/>
              <w:noProof/>
              <w:lang w:eastAsia="es-MX"/>
            </w:rPr>
          </w:pPr>
          <w:hyperlink w:anchor="_Toc4753406" w:history="1">
            <w:r w:rsidR="003D7066" w:rsidRPr="00042543">
              <w:rPr>
                <w:rStyle w:val="Hipervnculo"/>
                <w:rFonts w:ascii="Palatino Linotype" w:hAnsi="Palatino Linotype"/>
                <w:b/>
                <w:noProof/>
              </w:rPr>
              <w:t>IV.</w:t>
            </w:r>
            <w:r w:rsidR="003D7066">
              <w:rPr>
                <w:rFonts w:eastAsiaTheme="minorEastAsia"/>
                <w:noProof/>
                <w:lang w:eastAsia="es-MX"/>
              </w:rPr>
              <w:tab/>
            </w:r>
            <w:r w:rsidR="003D7066" w:rsidRPr="00042543">
              <w:rPr>
                <w:rStyle w:val="Hipervnculo"/>
                <w:rFonts w:ascii="Palatino Linotype" w:hAnsi="Palatino Linotype"/>
                <w:b/>
                <w:noProof/>
              </w:rPr>
              <w:t>Del Pronunciamiento Simple</w:t>
            </w:r>
            <w:r w:rsidR="003D7066">
              <w:rPr>
                <w:noProof/>
                <w:webHidden/>
              </w:rPr>
              <w:tab/>
            </w:r>
            <w:r w:rsidR="003D7066">
              <w:rPr>
                <w:noProof/>
                <w:webHidden/>
              </w:rPr>
              <w:fldChar w:fldCharType="begin"/>
            </w:r>
            <w:r w:rsidR="003D7066">
              <w:rPr>
                <w:noProof/>
                <w:webHidden/>
              </w:rPr>
              <w:instrText xml:space="preserve"> PAGEREF _Toc4753406 \h </w:instrText>
            </w:r>
            <w:r w:rsidR="003D7066">
              <w:rPr>
                <w:noProof/>
                <w:webHidden/>
              </w:rPr>
            </w:r>
            <w:r w:rsidR="003D7066">
              <w:rPr>
                <w:noProof/>
                <w:webHidden/>
              </w:rPr>
              <w:fldChar w:fldCharType="separate"/>
            </w:r>
            <w:r w:rsidR="005D395D">
              <w:rPr>
                <w:noProof/>
                <w:webHidden/>
              </w:rPr>
              <w:t>18</w:t>
            </w:r>
            <w:r w:rsidR="003D7066">
              <w:rPr>
                <w:noProof/>
                <w:webHidden/>
              </w:rPr>
              <w:fldChar w:fldCharType="end"/>
            </w:r>
          </w:hyperlink>
        </w:p>
        <w:p w:rsidR="003D7066" w:rsidRDefault="00975456">
          <w:pPr>
            <w:pStyle w:val="TDC2"/>
            <w:tabs>
              <w:tab w:val="left" w:pos="660"/>
              <w:tab w:val="right" w:leader="dot" w:pos="8828"/>
            </w:tabs>
            <w:rPr>
              <w:rFonts w:eastAsiaTheme="minorEastAsia"/>
              <w:noProof/>
              <w:lang w:eastAsia="es-MX"/>
            </w:rPr>
          </w:pPr>
          <w:hyperlink w:anchor="_Toc4753407" w:history="1">
            <w:r w:rsidR="003D7066" w:rsidRPr="00042543">
              <w:rPr>
                <w:rStyle w:val="Hipervnculo"/>
                <w:rFonts w:ascii="Palatino Linotype" w:hAnsi="Palatino Linotype"/>
                <w:b/>
                <w:noProof/>
              </w:rPr>
              <w:t>a)</w:t>
            </w:r>
            <w:r w:rsidR="003D7066">
              <w:rPr>
                <w:rFonts w:eastAsiaTheme="minorEastAsia"/>
                <w:noProof/>
                <w:lang w:eastAsia="es-MX"/>
              </w:rPr>
              <w:tab/>
            </w:r>
            <w:r w:rsidR="003D7066" w:rsidRPr="00042543">
              <w:rPr>
                <w:rStyle w:val="Hipervnculo"/>
                <w:rFonts w:ascii="Palatino Linotype" w:hAnsi="Palatino Linotype"/>
                <w:b/>
                <w:noProof/>
              </w:rPr>
              <w:t>Del Derecho de Acceso a la información pública y el deber de motivar.</w:t>
            </w:r>
            <w:r w:rsidR="003D7066">
              <w:rPr>
                <w:noProof/>
                <w:webHidden/>
              </w:rPr>
              <w:tab/>
            </w:r>
            <w:r w:rsidR="003D7066">
              <w:rPr>
                <w:noProof/>
                <w:webHidden/>
              </w:rPr>
              <w:fldChar w:fldCharType="begin"/>
            </w:r>
            <w:r w:rsidR="003D7066">
              <w:rPr>
                <w:noProof/>
                <w:webHidden/>
              </w:rPr>
              <w:instrText xml:space="preserve"> PAGEREF _Toc4753407 \h </w:instrText>
            </w:r>
            <w:r w:rsidR="003D7066">
              <w:rPr>
                <w:noProof/>
                <w:webHidden/>
              </w:rPr>
            </w:r>
            <w:r w:rsidR="003D7066">
              <w:rPr>
                <w:noProof/>
                <w:webHidden/>
              </w:rPr>
              <w:fldChar w:fldCharType="separate"/>
            </w:r>
            <w:r w:rsidR="005D395D">
              <w:rPr>
                <w:noProof/>
                <w:webHidden/>
              </w:rPr>
              <w:t>18</w:t>
            </w:r>
            <w:r w:rsidR="003D7066">
              <w:rPr>
                <w:noProof/>
                <w:webHidden/>
              </w:rPr>
              <w:fldChar w:fldCharType="end"/>
            </w:r>
          </w:hyperlink>
        </w:p>
        <w:p w:rsidR="003D7066" w:rsidRDefault="00975456">
          <w:pPr>
            <w:pStyle w:val="TDC2"/>
            <w:tabs>
              <w:tab w:val="left" w:pos="660"/>
              <w:tab w:val="right" w:leader="dot" w:pos="8828"/>
            </w:tabs>
            <w:rPr>
              <w:rFonts w:eastAsiaTheme="minorEastAsia"/>
              <w:noProof/>
              <w:lang w:eastAsia="es-MX"/>
            </w:rPr>
          </w:pPr>
          <w:hyperlink w:anchor="_Toc4753408" w:history="1">
            <w:r w:rsidR="003D7066" w:rsidRPr="00042543">
              <w:rPr>
                <w:rStyle w:val="Hipervnculo"/>
                <w:rFonts w:ascii="Palatino Linotype" w:eastAsia="Calibri" w:hAnsi="Palatino Linotype"/>
                <w:b/>
                <w:noProof/>
              </w:rPr>
              <w:t>b)</w:t>
            </w:r>
            <w:r w:rsidR="003D7066">
              <w:rPr>
                <w:rFonts w:eastAsiaTheme="minorEastAsia"/>
                <w:noProof/>
                <w:lang w:eastAsia="es-MX"/>
              </w:rPr>
              <w:tab/>
            </w:r>
            <w:r w:rsidR="003D7066" w:rsidRPr="00042543">
              <w:rPr>
                <w:rStyle w:val="Hipervnculo"/>
                <w:rFonts w:ascii="Palatino Linotype" w:eastAsia="Calibri" w:hAnsi="Palatino Linotype"/>
                <w:b/>
                <w:noProof/>
              </w:rPr>
              <w:t>De la fundamentación y motivación.</w:t>
            </w:r>
            <w:r w:rsidR="003D7066">
              <w:rPr>
                <w:noProof/>
                <w:webHidden/>
              </w:rPr>
              <w:tab/>
            </w:r>
            <w:r w:rsidR="003D7066">
              <w:rPr>
                <w:noProof/>
                <w:webHidden/>
              </w:rPr>
              <w:fldChar w:fldCharType="begin"/>
            </w:r>
            <w:r w:rsidR="003D7066">
              <w:rPr>
                <w:noProof/>
                <w:webHidden/>
              </w:rPr>
              <w:instrText xml:space="preserve"> PAGEREF _Toc4753408 \h </w:instrText>
            </w:r>
            <w:r w:rsidR="003D7066">
              <w:rPr>
                <w:noProof/>
                <w:webHidden/>
              </w:rPr>
            </w:r>
            <w:r w:rsidR="003D7066">
              <w:rPr>
                <w:noProof/>
                <w:webHidden/>
              </w:rPr>
              <w:fldChar w:fldCharType="separate"/>
            </w:r>
            <w:r w:rsidR="005D395D">
              <w:rPr>
                <w:noProof/>
                <w:webHidden/>
              </w:rPr>
              <w:t>23</w:t>
            </w:r>
            <w:r w:rsidR="003D7066">
              <w:rPr>
                <w:noProof/>
                <w:webHidden/>
              </w:rPr>
              <w:fldChar w:fldCharType="end"/>
            </w:r>
          </w:hyperlink>
        </w:p>
        <w:p w:rsidR="0046491C" w:rsidRPr="000E57DB" w:rsidRDefault="0046491C" w:rsidP="000E57DB">
          <w:pPr>
            <w:spacing w:line="600" w:lineRule="auto"/>
            <w:rPr>
              <w:rFonts w:ascii="Palatino Linotype" w:hAnsi="Palatino Linotype"/>
              <w:sz w:val="24"/>
              <w:szCs w:val="24"/>
            </w:rPr>
          </w:pPr>
          <w:r w:rsidRPr="000E57DB">
            <w:rPr>
              <w:rFonts w:ascii="Palatino Linotype" w:hAnsi="Palatino Linotype"/>
              <w:b/>
              <w:bCs/>
              <w:sz w:val="24"/>
              <w:szCs w:val="24"/>
              <w:lang w:val="es-ES"/>
            </w:rPr>
            <w:fldChar w:fldCharType="end"/>
          </w:r>
        </w:p>
      </w:sdtContent>
    </w:sdt>
    <w:p w:rsidR="00072966" w:rsidRPr="000E57DB" w:rsidRDefault="00072966" w:rsidP="000E57DB">
      <w:pPr>
        <w:pStyle w:val="Ttulo1"/>
        <w:spacing w:line="600" w:lineRule="auto"/>
        <w:rPr>
          <w:rFonts w:ascii="Palatino Linotype" w:hAnsi="Palatino Linotype"/>
          <w:b/>
          <w:color w:val="auto"/>
          <w:sz w:val="24"/>
          <w:szCs w:val="24"/>
        </w:rPr>
      </w:pPr>
    </w:p>
    <w:p w:rsidR="00702BD9" w:rsidRDefault="00702BD9"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83373E" w:rsidRDefault="0083373E"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0E57DB" w:rsidRDefault="000E57DB"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4753402"/>
      <w:r w:rsidRPr="0009123A">
        <w:rPr>
          <w:rFonts w:ascii="Palatino Linotype" w:hAnsi="Palatino Linotype"/>
          <w:b/>
          <w:color w:val="auto"/>
          <w:sz w:val="24"/>
          <w:szCs w:val="24"/>
        </w:rPr>
        <w:lastRenderedPageBreak/>
        <w:t>Consideraciones Generales.</w:t>
      </w:r>
      <w:bookmarkEnd w:id="1"/>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755DD7" w:rsidRPr="00755DD7" w:rsidRDefault="0046491C" w:rsidP="00755DD7">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755DD7">
        <w:rPr>
          <w:rFonts w:ascii="Palatino Linotype" w:hAnsi="Palatino Linotype" w:cs="Arial"/>
          <w:sz w:val="24"/>
          <w:szCs w:val="24"/>
        </w:rPr>
        <w:t>décimo segunda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755DD7">
        <w:rPr>
          <w:rFonts w:ascii="Palatino Linotype" w:hAnsi="Palatino Linotype" w:cs="Arial"/>
          <w:sz w:val="24"/>
          <w:szCs w:val="24"/>
        </w:rPr>
        <w:t>veintiséis</w:t>
      </w:r>
      <w:r w:rsidRPr="0009123A">
        <w:rPr>
          <w:rFonts w:ascii="Palatino Linotype" w:hAnsi="Palatino Linotype" w:cs="Arial"/>
          <w:sz w:val="24"/>
          <w:szCs w:val="24"/>
        </w:rPr>
        <w:t xml:space="preserve"> (</w:t>
      </w:r>
      <w:r w:rsidR="00090947">
        <w:rPr>
          <w:rFonts w:ascii="Palatino Linotype" w:hAnsi="Palatino Linotype" w:cs="Arial"/>
          <w:sz w:val="24"/>
          <w:szCs w:val="24"/>
        </w:rPr>
        <w:t>2</w:t>
      </w:r>
      <w:r w:rsidR="00755DD7">
        <w:rPr>
          <w:rFonts w:ascii="Palatino Linotype" w:hAnsi="Palatino Linotype" w:cs="Arial"/>
          <w:sz w:val="24"/>
          <w:szCs w:val="24"/>
        </w:rPr>
        <w:t>6</w:t>
      </w:r>
      <w:r w:rsidR="00225026" w:rsidRPr="0009123A">
        <w:rPr>
          <w:rFonts w:ascii="Palatino Linotype" w:hAnsi="Palatino Linotype" w:cs="Arial"/>
          <w:sz w:val="24"/>
          <w:szCs w:val="24"/>
        </w:rPr>
        <w:t xml:space="preserve">) de </w:t>
      </w:r>
      <w:r w:rsidR="00755DD7">
        <w:rPr>
          <w:rFonts w:ascii="Palatino Linotype" w:hAnsi="Palatino Linotype" w:cs="Arial"/>
          <w:sz w:val="24"/>
          <w:szCs w:val="24"/>
        </w:rPr>
        <w:t>marzo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DE67B1">
        <w:rPr>
          <w:rFonts w:ascii="Palatino Linotype" w:hAnsi="Palatino Linotype" w:cs="Arial"/>
          <w:sz w:val="24"/>
          <w:szCs w:val="24"/>
        </w:rPr>
        <w:t xml:space="preserve"> en contra de la respuesta de</w:t>
      </w:r>
      <w:r w:rsidR="00755DD7">
        <w:rPr>
          <w:rFonts w:ascii="Palatino Linotype" w:hAnsi="Palatino Linotype" w:cs="Arial"/>
          <w:sz w:val="24"/>
          <w:szCs w:val="24"/>
        </w:rPr>
        <w:t xml:space="preserve"> </w:t>
      </w:r>
      <w:r w:rsidR="00777181" w:rsidRPr="0009123A">
        <w:rPr>
          <w:rFonts w:ascii="Palatino Linotype" w:hAnsi="Palatino Linotype" w:cs="Arial"/>
          <w:sz w:val="24"/>
          <w:szCs w:val="24"/>
        </w:rPr>
        <w:t>l</w:t>
      </w:r>
      <w:r w:rsidR="00755DD7">
        <w:rPr>
          <w:rFonts w:ascii="Palatino Linotype" w:hAnsi="Palatino Linotype" w:cs="Arial"/>
          <w:sz w:val="24"/>
          <w:szCs w:val="24"/>
        </w:rPr>
        <w:t>a</w:t>
      </w:r>
      <w:r w:rsidR="00777181" w:rsidRPr="0009123A">
        <w:rPr>
          <w:rFonts w:ascii="Palatino Linotype" w:hAnsi="Palatino Linotype" w:cs="Arial"/>
          <w:sz w:val="24"/>
          <w:szCs w:val="24"/>
        </w:rPr>
        <w:t xml:space="preserve"> </w:t>
      </w:r>
      <w:r w:rsidR="003D7066">
        <w:rPr>
          <w:rFonts w:ascii="Palatino Linotype" w:hAnsi="Palatino Linotype" w:cs="Arial"/>
          <w:b/>
          <w:sz w:val="24"/>
          <w:szCs w:val="24"/>
        </w:rPr>
        <w:t>Comisión del Agua del Estado de México</w:t>
      </w:r>
      <w:r w:rsidRPr="0009123A">
        <w:rPr>
          <w:rFonts w:ascii="Palatino Linotype" w:hAnsi="Palatino Linotype" w:cs="Arial"/>
          <w:sz w:val="24"/>
          <w:szCs w:val="24"/>
        </w:rPr>
        <w:t>, procedimiento a</w:t>
      </w:r>
      <w:r w:rsidR="0000525F" w:rsidRPr="0009123A">
        <w:rPr>
          <w:rFonts w:ascii="Palatino Linotype" w:hAnsi="Palatino Linotype" w:cs="Arial"/>
          <w:sz w:val="24"/>
          <w:szCs w:val="24"/>
        </w:rPr>
        <w:t>l</w:t>
      </w:r>
      <w:r w:rsidR="00902248" w:rsidRPr="0009123A">
        <w:rPr>
          <w:rFonts w:ascii="Palatino Linotype" w:hAnsi="Palatino Linotype" w:cs="Arial"/>
          <w:sz w:val="24"/>
          <w:szCs w:val="24"/>
        </w:rPr>
        <w:t xml:space="preserve"> que se le asignó </w:t>
      </w:r>
      <w:r w:rsidR="0000525F" w:rsidRPr="0009123A">
        <w:rPr>
          <w:rFonts w:ascii="Palatino Linotype" w:hAnsi="Palatino Linotype" w:cs="Arial"/>
          <w:sz w:val="24"/>
          <w:szCs w:val="24"/>
        </w:rPr>
        <w:t>el</w:t>
      </w:r>
      <w:r w:rsidRPr="0009123A">
        <w:rPr>
          <w:rFonts w:ascii="Palatino Linotype" w:hAnsi="Palatino Linotype" w:cs="Arial"/>
          <w:sz w:val="24"/>
          <w:szCs w:val="24"/>
        </w:rPr>
        <w:t xml:space="preserve"> número de expediente </w:t>
      </w:r>
      <w:r w:rsidR="00090947">
        <w:rPr>
          <w:rFonts w:ascii="Palatino Linotype" w:hAnsi="Palatino Linotype" w:cs="Arial"/>
          <w:b/>
          <w:sz w:val="24"/>
          <w:szCs w:val="24"/>
        </w:rPr>
        <w:t>0</w:t>
      </w:r>
      <w:r w:rsidR="00755DD7">
        <w:rPr>
          <w:rFonts w:ascii="Palatino Linotype" w:hAnsi="Palatino Linotype" w:cs="Arial"/>
          <w:b/>
          <w:sz w:val="24"/>
          <w:szCs w:val="24"/>
        </w:rPr>
        <w:t>0357</w:t>
      </w:r>
      <w:r w:rsidR="003D7066">
        <w:rPr>
          <w:rFonts w:ascii="Palatino Linotype" w:hAnsi="Palatino Linotype" w:cs="Arial"/>
          <w:b/>
          <w:sz w:val="24"/>
          <w:szCs w:val="24"/>
        </w:rPr>
        <w:t>/INFOEM/IP/RR/2019</w:t>
      </w:r>
      <w:r w:rsidR="00755DD7">
        <w:rPr>
          <w:rFonts w:ascii="Palatino Linotype" w:hAnsi="Palatino Linotype" w:cs="Arial"/>
          <w:b/>
          <w:sz w:val="24"/>
          <w:szCs w:val="24"/>
        </w:rPr>
        <w:t>.</w:t>
      </w:r>
    </w:p>
    <w:p w:rsidR="000E57DB" w:rsidRPr="0009123A" w:rsidRDefault="00755DD7" w:rsidP="00755DD7">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w:t>
      </w:r>
    </w:p>
    <w:p w:rsidR="0029712E" w:rsidRDefault="00C7250F" w:rsidP="0029712E">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t>El sentido de la R</w:t>
      </w:r>
      <w:r w:rsidR="00755DD7">
        <w:rPr>
          <w:rFonts w:ascii="Palatino Linotype" w:hAnsi="Palatino Linotype" w:cs="Arial"/>
          <w:sz w:val="24"/>
          <w:szCs w:val="24"/>
        </w:rPr>
        <w:t>esolución puntualmente determinó</w:t>
      </w:r>
      <w:r w:rsidRPr="0009123A">
        <w:rPr>
          <w:rFonts w:ascii="Palatino Linotype" w:hAnsi="Palatino Linotype" w:cs="Arial"/>
          <w:sz w:val="24"/>
          <w:szCs w:val="24"/>
        </w:rPr>
        <w:t xml:space="preserve"> </w:t>
      </w:r>
      <w:r w:rsidR="00755DD7">
        <w:rPr>
          <w:rFonts w:ascii="Palatino Linotype" w:hAnsi="Palatino Linotype" w:cs="Arial"/>
          <w:b/>
          <w:sz w:val="24"/>
          <w:szCs w:val="24"/>
        </w:rPr>
        <w:t>MODIFICAR</w:t>
      </w:r>
      <w:r w:rsidR="00090947">
        <w:rPr>
          <w:rFonts w:ascii="Palatino Linotype" w:hAnsi="Palatino Linotype" w:cs="Arial"/>
          <w:b/>
          <w:sz w:val="24"/>
          <w:szCs w:val="24"/>
        </w:rPr>
        <w:t xml:space="preserve"> </w:t>
      </w:r>
      <w:r w:rsidR="00755DD7">
        <w:rPr>
          <w:rFonts w:ascii="Palatino Linotype" w:hAnsi="Palatino Linotype" w:cs="Arial"/>
          <w:sz w:val="24"/>
          <w:szCs w:val="24"/>
        </w:rPr>
        <w:t xml:space="preserve">la respuesta y </w:t>
      </w:r>
      <w:r w:rsidR="00755DD7" w:rsidRPr="00755DD7">
        <w:rPr>
          <w:rFonts w:ascii="Palatino Linotype" w:hAnsi="Palatino Linotype" w:cs="Arial"/>
          <w:b/>
          <w:sz w:val="24"/>
          <w:szCs w:val="24"/>
        </w:rPr>
        <w:t>ORDENAR</w:t>
      </w:r>
      <w:r w:rsidR="00755DD7">
        <w:rPr>
          <w:rFonts w:ascii="Palatino Linotype" w:hAnsi="Palatino Linotype" w:cs="Arial"/>
          <w:sz w:val="24"/>
          <w:szCs w:val="24"/>
        </w:rPr>
        <w:t xml:space="preserve"> la entrega de lo siguiente: </w:t>
      </w:r>
    </w:p>
    <w:p w:rsidR="00755DD7" w:rsidRPr="00A4013A" w:rsidRDefault="00755DD7" w:rsidP="00755DD7">
      <w:pPr>
        <w:spacing w:before="120" w:after="120" w:line="360" w:lineRule="auto"/>
        <w:ind w:left="567" w:right="709"/>
        <w:jc w:val="both"/>
        <w:rPr>
          <w:rFonts w:ascii="Palatino Linotype" w:hAnsi="Palatino Linotype"/>
          <w:bCs/>
          <w:i/>
        </w:rPr>
      </w:pPr>
      <w:r w:rsidRPr="00A4013A">
        <w:rPr>
          <w:rFonts w:ascii="Palatino Linotype" w:hAnsi="Palatino Linotype"/>
          <w:bCs/>
          <w:i/>
        </w:rPr>
        <w:t>“L</w:t>
      </w:r>
      <w:r w:rsidRPr="00A4013A">
        <w:rPr>
          <w:rFonts w:ascii="Palatino Linotype" w:hAnsi="Palatino Linotype" w:cs="Arial"/>
          <w:i/>
          <w:lang w:eastAsia="es-MX"/>
        </w:rPr>
        <w:t>a administración de la laguna de La Piedad, ubicada en el municipio de Cuautitlán Izcalli, a cargo de la Comisión del Agua del Estado de México.</w:t>
      </w:r>
    </w:p>
    <w:p w:rsidR="00755DD7" w:rsidRPr="00A4013A" w:rsidRDefault="00755DD7" w:rsidP="00755DD7">
      <w:pPr>
        <w:spacing w:before="120" w:after="120" w:line="360" w:lineRule="auto"/>
        <w:ind w:left="567" w:right="709"/>
        <w:jc w:val="both"/>
        <w:rPr>
          <w:rFonts w:ascii="Palatino Linotype" w:hAnsi="Palatino Linotype"/>
          <w:bCs/>
          <w:i/>
        </w:rPr>
      </w:pPr>
      <w:r w:rsidRPr="00A4013A">
        <w:rPr>
          <w:rFonts w:ascii="Palatino Linotype" w:hAnsi="Palatino Linotype"/>
          <w:bCs/>
          <w:i/>
        </w:rPr>
        <w:t xml:space="preserve">Debiendo notificar al </w:t>
      </w:r>
      <w:r w:rsidRPr="00A4013A">
        <w:rPr>
          <w:rFonts w:ascii="Palatino Linotype" w:hAnsi="Palatino Linotype"/>
          <w:b/>
          <w:bCs/>
          <w:i/>
        </w:rPr>
        <w:t>RECURRENTE</w:t>
      </w:r>
      <w:r w:rsidRPr="00A4013A">
        <w:rPr>
          <w:rFonts w:ascii="Palatino Linotype" w:hAnsi="Palatino Linotype"/>
          <w:bCs/>
          <w:i/>
        </w:rPr>
        <w:t xml:space="preserve"> el Acuerdo de Clasificación de la información que emita el Comité de Transparencia con motivo de la versión pública.</w:t>
      </w:r>
    </w:p>
    <w:p w:rsidR="00755DD7" w:rsidRDefault="00755DD7" w:rsidP="00755DD7">
      <w:pPr>
        <w:spacing w:before="120" w:after="120" w:line="360" w:lineRule="auto"/>
        <w:ind w:left="567" w:right="709"/>
        <w:jc w:val="both"/>
        <w:rPr>
          <w:rFonts w:ascii="Palatino Linotype" w:hAnsi="Palatino Linotype"/>
          <w:bCs/>
          <w:i/>
        </w:rPr>
      </w:pPr>
      <w:r w:rsidRPr="00A4013A">
        <w:rPr>
          <w:rFonts w:ascii="Palatino Linotype" w:hAnsi="Palatino Linotype"/>
          <w:bCs/>
          <w:i/>
        </w:rPr>
        <w:t xml:space="preserve">En el caso de que la laguna referida no sea administrada por </w:t>
      </w:r>
      <w:r w:rsidRPr="00A4013A">
        <w:rPr>
          <w:rFonts w:ascii="Palatino Linotype" w:hAnsi="Palatino Linotype"/>
          <w:b/>
          <w:bCs/>
          <w:i/>
        </w:rPr>
        <w:t>EL SUJETO OBLIGADO</w:t>
      </w:r>
      <w:r w:rsidRPr="00A4013A">
        <w:rPr>
          <w:rFonts w:ascii="Palatino Linotype" w:hAnsi="Palatino Linotype"/>
          <w:bCs/>
          <w:i/>
        </w:rPr>
        <w:t xml:space="preserve">, deberá hacerlo de conocimiento del </w:t>
      </w:r>
      <w:r w:rsidRPr="00A4013A">
        <w:rPr>
          <w:rFonts w:ascii="Palatino Linotype" w:hAnsi="Palatino Linotype"/>
          <w:b/>
          <w:bCs/>
          <w:i/>
        </w:rPr>
        <w:t>RECURRENTE</w:t>
      </w:r>
      <w:r w:rsidRPr="00A4013A">
        <w:rPr>
          <w:rFonts w:ascii="Palatino Linotype" w:hAnsi="Palatino Linotype"/>
          <w:bCs/>
          <w:i/>
        </w:rPr>
        <w:t>.”</w:t>
      </w:r>
    </w:p>
    <w:p w:rsidR="00FF2C74" w:rsidRPr="00A4013A" w:rsidRDefault="00FF2C74" w:rsidP="00755DD7">
      <w:pPr>
        <w:spacing w:before="120" w:after="120" w:line="360" w:lineRule="auto"/>
        <w:ind w:left="567" w:right="709"/>
        <w:jc w:val="both"/>
        <w:rPr>
          <w:rFonts w:ascii="Palatino Linotype" w:hAnsi="Palatino Linotype"/>
          <w:bCs/>
          <w:i/>
        </w:rPr>
      </w:pPr>
    </w:p>
    <w:p w:rsidR="00090947" w:rsidRPr="00FF2C74" w:rsidRDefault="00090947" w:rsidP="00FF2C74">
      <w:pPr>
        <w:pStyle w:val="Prrafodelista"/>
        <w:numPr>
          <w:ilvl w:val="0"/>
          <w:numId w:val="1"/>
        </w:numPr>
        <w:spacing w:line="360" w:lineRule="auto"/>
        <w:jc w:val="both"/>
        <w:rPr>
          <w:rFonts w:ascii="Palatino Linotype" w:hAnsi="Palatino Linotype" w:cs="Arial"/>
          <w:sz w:val="24"/>
          <w:szCs w:val="24"/>
        </w:rPr>
      </w:pPr>
      <w:r>
        <w:rPr>
          <w:rFonts w:ascii="Palatino Linotype" w:hAnsi="Palatino Linotype" w:cs="Arial"/>
          <w:sz w:val="24"/>
          <w:szCs w:val="24"/>
        </w:rPr>
        <w:t>Mi voto particular se deriva de</w:t>
      </w:r>
      <w:r w:rsidR="00FF2C74">
        <w:rPr>
          <w:rFonts w:ascii="Palatino Linotype" w:hAnsi="Palatino Linotype" w:cs="Arial"/>
          <w:sz w:val="24"/>
          <w:szCs w:val="24"/>
        </w:rPr>
        <w:t xml:space="preserve"> dos aspectos medulares, el primero, por e</w:t>
      </w:r>
      <w:r>
        <w:rPr>
          <w:rFonts w:ascii="Palatino Linotype" w:hAnsi="Palatino Linotype" w:cs="Arial"/>
          <w:sz w:val="24"/>
          <w:szCs w:val="24"/>
        </w:rPr>
        <w:t>l hecho de que en el estudio del proyecto de resolución hayan invocado los denominados actos co</w:t>
      </w:r>
      <w:r w:rsidR="00FF2C74">
        <w:rPr>
          <w:rFonts w:ascii="Palatino Linotype" w:hAnsi="Palatino Linotype" w:cs="Arial"/>
          <w:sz w:val="24"/>
          <w:szCs w:val="24"/>
        </w:rPr>
        <w:t xml:space="preserve">nsentidos, pues dicha acción trae como consecuencia que, no se analizan </w:t>
      </w:r>
      <w:r w:rsidR="00FF2C74">
        <w:rPr>
          <w:rFonts w:ascii="Palatino Linotype" w:hAnsi="Palatino Linotype" w:cs="Arial"/>
          <w:sz w:val="24"/>
          <w:szCs w:val="24"/>
        </w:rPr>
        <w:lastRenderedPageBreak/>
        <w:t xml:space="preserve">los </w:t>
      </w:r>
      <w:r w:rsidR="00FF2C74" w:rsidRPr="00FF2C74">
        <w:rPr>
          <w:rFonts w:ascii="Palatino Linotype" w:hAnsi="Palatino Linotype" w:cs="Arial"/>
          <w:sz w:val="24"/>
          <w:szCs w:val="24"/>
        </w:rPr>
        <w:t xml:space="preserve">requerimientos plasmados en la solicitud de acceso a la información que </w:t>
      </w:r>
      <w:r w:rsidR="00FF2C74" w:rsidRPr="00FF2C74">
        <w:rPr>
          <w:rFonts w:ascii="Palatino Linotype" w:hAnsi="Palatino Linotype" w:cs="Arial"/>
          <w:b/>
          <w:sz w:val="24"/>
          <w:szCs w:val="24"/>
        </w:rPr>
        <w:t>no</w:t>
      </w:r>
      <w:r w:rsidR="00FF2C74" w:rsidRPr="00FF2C74">
        <w:rPr>
          <w:rFonts w:ascii="Palatino Linotype" w:hAnsi="Palatino Linotype" w:cs="Arial"/>
          <w:sz w:val="24"/>
          <w:szCs w:val="24"/>
        </w:rPr>
        <w:t xml:space="preserve"> fueron recurridos en el recurso de revisión.</w:t>
      </w:r>
      <w:r w:rsidR="00FF2C74">
        <w:rPr>
          <w:rFonts w:ascii="Palatino Linotype" w:hAnsi="Palatino Linotype" w:cs="Arial"/>
          <w:sz w:val="24"/>
          <w:szCs w:val="24"/>
        </w:rPr>
        <w:t xml:space="preserve"> Mientras que el segundo aspecto es </w:t>
      </w:r>
      <w:r w:rsidR="00FF2C74" w:rsidRPr="00FF2C74">
        <w:rPr>
          <w:rFonts w:ascii="Palatino Linotype" w:hAnsi="Palatino Linotype" w:cs="Arial"/>
          <w:sz w:val="24"/>
          <w:szCs w:val="24"/>
        </w:rPr>
        <w:t>por</w:t>
      </w:r>
      <w:r w:rsidRPr="00FF2C74">
        <w:rPr>
          <w:rFonts w:ascii="Palatino Linotype" w:hAnsi="Palatino Linotype" w:cs="Arial"/>
          <w:sz w:val="24"/>
          <w:szCs w:val="24"/>
        </w:rPr>
        <w:t>que en los puntos resolutivos se haga mención de que, de ser el caso que la información solicitada no obre en los archivos del Sujeto Obligado bastará con que se le haga de con</w:t>
      </w:r>
      <w:r w:rsidR="0083373E" w:rsidRPr="00FF2C74">
        <w:rPr>
          <w:rFonts w:ascii="Palatino Linotype" w:hAnsi="Palatino Linotype" w:cs="Arial"/>
          <w:sz w:val="24"/>
          <w:szCs w:val="24"/>
        </w:rPr>
        <w:t xml:space="preserve">ocimiento a la parte recurrente, esto último el llamado “pronunciamiento simple”, dos temas que no comparto y serán motivo de análisis en líneas subsecuentes. </w:t>
      </w:r>
    </w:p>
    <w:p w:rsidR="0029712E" w:rsidRDefault="0029712E" w:rsidP="0029712E">
      <w:pPr>
        <w:pStyle w:val="Prrafodelista"/>
        <w:spacing w:line="360" w:lineRule="auto"/>
        <w:ind w:left="360"/>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3D7066" w:rsidRDefault="0046491C" w:rsidP="00E34F08">
      <w:pPr>
        <w:pStyle w:val="Ttulo1"/>
        <w:numPr>
          <w:ilvl w:val="0"/>
          <w:numId w:val="12"/>
        </w:numPr>
        <w:spacing w:line="360" w:lineRule="auto"/>
        <w:rPr>
          <w:rFonts w:ascii="Palatino Linotype" w:hAnsi="Palatino Linotype"/>
          <w:b/>
          <w:color w:val="auto"/>
          <w:sz w:val="24"/>
          <w:szCs w:val="24"/>
        </w:rPr>
      </w:pPr>
      <w:bookmarkStart w:id="2" w:name="_Toc4753403"/>
      <w:r w:rsidRPr="003D7066">
        <w:rPr>
          <w:rFonts w:ascii="Palatino Linotype" w:hAnsi="Palatino Linotype"/>
          <w:b/>
          <w:color w:val="auto"/>
          <w:sz w:val="24"/>
          <w:szCs w:val="24"/>
        </w:rPr>
        <w:t>De los requerimientos planteados en el recurso de revisión.</w:t>
      </w:r>
      <w:bookmarkEnd w:id="2"/>
    </w:p>
    <w:p w:rsidR="0046491C" w:rsidRPr="003D7066" w:rsidRDefault="0046491C" w:rsidP="00E34F08">
      <w:pPr>
        <w:pStyle w:val="Prrafodelista"/>
        <w:spacing w:line="360" w:lineRule="auto"/>
        <w:ind w:left="1080"/>
        <w:jc w:val="both"/>
        <w:rPr>
          <w:rFonts w:ascii="Palatino Linotype" w:hAnsi="Palatino Linotype" w:cs="Arial"/>
          <w:sz w:val="24"/>
          <w:szCs w:val="24"/>
        </w:rPr>
      </w:pPr>
    </w:p>
    <w:p w:rsidR="00FF2C74" w:rsidRPr="003D7066"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3D7066">
        <w:rPr>
          <w:rFonts w:ascii="Palatino Linotype" w:hAnsi="Palatino Linotype" w:cs="Arial"/>
          <w:sz w:val="24"/>
          <w:szCs w:val="24"/>
        </w:rPr>
        <w:t>La parte recurrente</w:t>
      </w:r>
      <w:r w:rsidR="000D1743" w:rsidRPr="003D7066">
        <w:rPr>
          <w:rFonts w:ascii="Palatino Linotype" w:hAnsi="Palatino Linotype" w:cs="Arial"/>
          <w:sz w:val="24"/>
          <w:szCs w:val="24"/>
        </w:rPr>
        <w:t xml:space="preserve"> solicitó </w:t>
      </w:r>
      <w:r w:rsidR="00FF2C74" w:rsidRPr="003D7066">
        <w:rPr>
          <w:rFonts w:ascii="Palatino Linotype" w:hAnsi="Palatino Linotype" w:cs="Arial"/>
          <w:sz w:val="24"/>
          <w:szCs w:val="24"/>
        </w:rPr>
        <w:t>lo siguiente:</w:t>
      </w:r>
    </w:p>
    <w:p w:rsidR="00FF2C74" w:rsidRPr="003D7066" w:rsidRDefault="00FF2C74" w:rsidP="00FF2C74">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FF2C74" w:rsidRPr="003D7066" w:rsidRDefault="00FF2C74" w:rsidP="00FF2C74">
      <w:pPr>
        <w:pStyle w:val="Prrafodelista"/>
        <w:numPr>
          <w:ilvl w:val="0"/>
          <w:numId w:val="35"/>
        </w:numPr>
        <w:spacing w:after="0" w:line="360" w:lineRule="auto"/>
        <w:ind w:left="851"/>
        <w:jc w:val="both"/>
        <w:rPr>
          <w:rFonts w:ascii="Palatino Linotype" w:eastAsia="Times New Roman" w:hAnsi="Palatino Linotype" w:cs="Times New Roman"/>
          <w:sz w:val="24"/>
          <w:szCs w:val="24"/>
          <w:lang w:val="es-ES_tradnl" w:eastAsia="es-ES"/>
        </w:rPr>
      </w:pPr>
      <w:r w:rsidRPr="003D7066">
        <w:rPr>
          <w:rFonts w:ascii="Palatino Linotype" w:eastAsia="Times New Roman" w:hAnsi="Palatino Linotype" w:cs="Times New Roman"/>
          <w:sz w:val="24"/>
          <w:szCs w:val="24"/>
          <w:lang w:val="es-ES_tradnl" w:eastAsia="es-ES"/>
        </w:rPr>
        <w:t>Lista de bienes inherentes a la Comisión de Agua del Estado de México, que se encuentran ubicados en el Municipio de Cuautitlán Izcalli; y,</w:t>
      </w:r>
    </w:p>
    <w:p w:rsidR="00FF2C74" w:rsidRPr="003D7066" w:rsidRDefault="00FF2C74" w:rsidP="00FF2C74">
      <w:pPr>
        <w:pStyle w:val="Prrafodelista"/>
        <w:numPr>
          <w:ilvl w:val="0"/>
          <w:numId w:val="35"/>
        </w:numPr>
        <w:spacing w:after="0" w:line="360" w:lineRule="auto"/>
        <w:ind w:left="851"/>
        <w:jc w:val="both"/>
        <w:rPr>
          <w:rFonts w:ascii="Palatino Linotype" w:eastAsia="Times New Roman" w:hAnsi="Palatino Linotype" w:cs="Times New Roman"/>
          <w:sz w:val="24"/>
          <w:szCs w:val="24"/>
          <w:lang w:val="es-ES_tradnl" w:eastAsia="es-ES"/>
        </w:rPr>
      </w:pPr>
      <w:r w:rsidRPr="003D7066">
        <w:rPr>
          <w:rFonts w:ascii="Palatino Linotype" w:hAnsi="Palatino Linotype" w:cs="Arial"/>
          <w:sz w:val="24"/>
          <w:szCs w:val="24"/>
        </w:rPr>
        <w:t>Si la administración de la Laguna de la Piedad está a cargo de la Comisión de Agua del Estado de México.</w:t>
      </w:r>
    </w:p>
    <w:p w:rsidR="0029712E" w:rsidRPr="003D7066" w:rsidRDefault="0029712E" w:rsidP="0029712E">
      <w:pPr>
        <w:pStyle w:val="Prrafodelista"/>
        <w:spacing w:line="360" w:lineRule="auto"/>
        <w:ind w:left="567" w:right="616"/>
        <w:jc w:val="both"/>
        <w:rPr>
          <w:rFonts w:ascii="Palatino Linotype" w:hAnsi="Palatino Linotype"/>
          <w:i/>
        </w:rPr>
      </w:pPr>
    </w:p>
    <w:p w:rsidR="00FF2C74" w:rsidRPr="003D7066"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3D7066">
        <w:rPr>
          <w:rFonts w:ascii="Palatino Linotype" w:eastAsia="Calibri" w:hAnsi="Palatino Linotype" w:cs="Tahoma"/>
          <w:iCs/>
          <w:sz w:val="24"/>
          <w:szCs w:val="24"/>
          <w:lang w:val="es-ES" w:eastAsia="es-ES_tradnl"/>
        </w:rPr>
        <w:lastRenderedPageBreak/>
        <w:t>El Sujeto Obligado</w:t>
      </w:r>
      <w:r w:rsidR="00FF2C74" w:rsidRPr="003D7066">
        <w:rPr>
          <w:rFonts w:ascii="Palatino Linotype" w:eastAsia="Calibri" w:hAnsi="Palatino Linotype" w:cs="Tahoma"/>
          <w:iCs/>
          <w:sz w:val="24"/>
          <w:szCs w:val="24"/>
          <w:lang w:val="es-ES" w:eastAsia="es-ES_tradnl"/>
        </w:rPr>
        <w:t xml:space="preserve"> remitió un listado de los bienes que son administrados por la Comisión y se encuentran ubicados en el Municipio de Cuautitlán Izcalli y, por lo que corresponde a la Laguna de la Piedad, manifestó que es administrado por la CONAGU.</w:t>
      </w:r>
    </w:p>
    <w:p w:rsidR="000E57DB" w:rsidRPr="003D7066" w:rsidRDefault="000E57DB" w:rsidP="000E57DB">
      <w:pPr>
        <w:pStyle w:val="Prrafodelista"/>
        <w:tabs>
          <w:tab w:val="left" w:pos="4962"/>
        </w:tabs>
        <w:spacing w:line="360" w:lineRule="auto"/>
        <w:ind w:left="360"/>
        <w:jc w:val="both"/>
        <w:rPr>
          <w:rFonts w:ascii="Palatino Linotype" w:eastAsia="Calibri" w:hAnsi="Palatino Linotype" w:cs="Tahoma"/>
          <w:iCs/>
          <w:sz w:val="24"/>
          <w:szCs w:val="24"/>
          <w:lang w:val="es-ES" w:eastAsia="es-ES_tradnl"/>
        </w:rPr>
      </w:pPr>
    </w:p>
    <w:p w:rsidR="00FF2C74" w:rsidRPr="003D7066" w:rsidRDefault="0029712E" w:rsidP="0029712E">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3D7066">
        <w:rPr>
          <w:rFonts w:ascii="Palatino Linotype" w:eastAsia="Times New Roman" w:hAnsi="Palatino Linotype" w:cs="Times New Roman"/>
          <w:sz w:val="24"/>
          <w:szCs w:val="24"/>
          <w:lang w:eastAsia="es-ES"/>
        </w:rPr>
        <w:t xml:space="preserve">El Recurrente consideró que la respuesta no colmaba sus pretensiones por lo que interpuso el recurso de revisión </w:t>
      </w:r>
      <w:r w:rsidR="00FF2C74" w:rsidRPr="003D7066">
        <w:rPr>
          <w:rFonts w:ascii="Palatino Linotype" w:eastAsia="Times New Roman" w:hAnsi="Palatino Linotype" w:cs="Times New Roman"/>
          <w:sz w:val="24"/>
          <w:szCs w:val="24"/>
          <w:lang w:eastAsia="es-ES"/>
        </w:rPr>
        <w:t>y se inconformó porque, anteriormente, la CONAGUA señaló que el inmueble referido no cumplió los requisitos legales para ser considerado un bien propiedad nacional.</w:t>
      </w:r>
    </w:p>
    <w:p w:rsidR="003D7066" w:rsidRPr="003D7066" w:rsidRDefault="003D7066" w:rsidP="003D7066">
      <w:pPr>
        <w:pStyle w:val="Prrafodelista"/>
        <w:rPr>
          <w:rFonts w:ascii="Palatino Linotype" w:eastAsia="Calibri" w:hAnsi="Palatino Linotype" w:cs="Tahoma"/>
          <w:iCs/>
          <w:sz w:val="24"/>
          <w:szCs w:val="24"/>
          <w:lang w:val="es-ES" w:eastAsia="es-ES_tradnl"/>
        </w:rPr>
      </w:pPr>
    </w:p>
    <w:p w:rsidR="003D7066" w:rsidRPr="003D7066" w:rsidRDefault="003D7066" w:rsidP="003D7066">
      <w:pPr>
        <w:pStyle w:val="Ttulo1"/>
        <w:numPr>
          <w:ilvl w:val="0"/>
          <w:numId w:val="12"/>
        </w:numPr>
        <w:rPr>
          <w:rFonts w:ascii="Palatino Linotype" w:eastAsia="Calibri" w:hAnsi="Palatino Linotype"/>
          <w:b/>
          <w:color w:val="auto"/>
          <w:sz w:val="24"/>
          <w:lang w:val="es-ES" w:eastAsia="es-ES_tradnl"/>
        </w:rPr>
      </w:pPr>
      <w:bookmarkStart w:id="3" w:name="_Toc4753404"/>
      <w:r w:rsidRPr="003D7066">
        <w:rPr>
          <w:rFonts w:ascii="Palatino Linotype" w:eastAsia="Calibri" w:hAnsi="Palatino Linotype"/>
          <w:b/>
          <w:color w:val="auto"/>
          <w:sz w:val="24"/>
          <w:lang w:val="es-ES" w:eastAsia="es-ES_tradnl"/>
        </w:rPr>
        <w:t>Actos Consentidos.</w:t>
      </w:r>
      <w:bookmarkEnd w:id="3"/>
    </w:p>
    <w:p w:rsidR="00FF2C74" w:rsidRPr="00FF2C74" w:rsidRDefault="00FF2C74" w:rsidP="00FF2C74">
      <w:pPr>
        <w:pStyle w:val="Prrafodelista"/>
        <w:rPr>
          <w:rFonts w:ascii="Palatino Linotype" w:eastAsia="Times New Roman" w:hAnsi="Palatino Linotype" w:cs="Times New Roman"/>
          <w:sz w:val="24"/>
          <w:szCs w:val="24"/>
          <w:highlight w:val="yellow"/>
          <w:lang w:eastAsia="es-ES"/>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644913" w:rsidRPr="00644913" w:rsidRDefault="0069498B"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644913" w:rsidRPr="00644913">
        <w:rPr>
          <w:rFonts w:ascii="Palatino Linotype" w:eastAsia="Calibri" w:hAnsi="Palatino Linotype" w:cs="Tahoma"/>
          <w:i/>
          <w:iCs/>
          <w:szCs w:val="24"/>
          <w:lang w:val="es-ES" w:eastAsia="es-ES_tradnl"/>
        </w:rPr>
        <w:t xml:space="preserve">En ese contexto, en primer término debe precisarse que, en razón de que EL RECURRENTE no expresó su intención de controvertir el contenido de la información que le fue entregada por EL SUJETO OBLIGADO, respecto del numeral 1 supra, por lo que debe interpretarse que, al no ser combatida o impugnada fue colmada a su entera satisfacción. Sirve de apoyo a lo anterior, por analogía la Tesis Jurisprudencial Número </w:t>
      </w:r>
      <w:r w:rsidR="00644913" w:rsidRPr="00644913">
        <w:rPr>
          <w:rFonts w:ascii="Palatino Linotype" w:eastAsia="Calibri" w:hAnsi="Palatino Linotype" w:cs="Tahoma"/>
          <w:i/>
          <w:iCs/>
          <w:szCs w:val="24"/>
          <w:lang w:val="es-ES" w:eastAsia="es-ES_tradnl"/>
        </w:rPr>
        <w:lastRenderedPageBreak/>
        <w:t>3ª./J.7/91, Publicada en el Semanario Judicial de la Federación y su Gaceta bajo el número de registro 174,177, que establece lo siguiente:</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Amparo en revisión 1475/2005. María del Consuelo Buendía Ramírez. 7 de diciembre de 2005. Cinco votos. Ponente: Sergio A. Valls Hernández. Secretario: Gustavo Ruiz Padilla.</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Amparo en revisión 168/2006. Leticia Fernández Mañón. 1o. de marzo de 2006. Cinco votos. Ponente: Juan N. Silva Meza. Secretario: Jaime Flores Cruz.</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Amparo en revisión 235/2006. Jorge González Gallegos. 15 de marzo de 2006. Cinco votos. Ponente: Juan N. Silva Meza. Secretario: Jaime Flores Cruz.</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Amparo en revisión 394/2006. Elia Margarita Flores Jarquín. 29 de marzo de 2006. Unanimidad de cuatro votos. Ausente: Olga Sánchez Cordero de García Villegas. Ponente: Juan N. Silva Meza. Secretario: Jaime Flores Cruz.</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lastRenderedPageBreak/>
        <w:t>Amparo en revisión 1179/2006. Ernesto Orlando Ortiz Vázquez. 16 de agosto de 2006. Cinco votos. Ponente: José de Jesús Gudiño Pelayo. Secretario: José de Jesús Bañales Sánchez.</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Tesis de jurisprudencia 62/2006. Aprobada por la Primera Sala de este Alto Tribunal, en sesión de treinta de agosto de dos mil seis.”</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Consecuentemente, el contenido total de la información otorgada en respuesta a la solicitud al no ser impugnado por EL RECURRENTE debe declararse consentido, toda vez que no se realizaron manifestaciones de inconformidad respecto del mismo, por lo que, no podrían producirse efectos jurídicos tendientes a revocarlos, confirmarlos o modificarlos, ya que se advierte respecto a éstos, un consentimiento por parte del RECURRENTE, ante la falta de impugnación eficaz. Sirve de sustento por analogía, la tesis jurisprudencial número VI.3o.C. J/60, publicada en el Semanario Judicial de la Federación y su Gaceta bajo el número de registro 176,608 que a la letra dice:</w:t>
      </w:r>
    </w:p>
    <w:p w:rsidR="00644913" w:rsidRPr="00644913" w:rsidRDefault="00644913" w:rsidP="00644913">
      <w:pPr>
        <w:tabs>
          <w:tab w:val="left" w:pos="4962"/>
        </w:tabs>
        <w:spacing w:line="360" w:lineRule="auto"/>
        <w:ind w:left="567" w:right="616"/>
        <w:jc w:val="both"/>
        <w:rPr>
          <w:rFonts w:ascii="Palatino Linotype" w:eastAsia="Calibri" w:hAnsi="Palatino Linotype" w:cs="Tahoma"/>
          <w:i/>
          <w:iCs/>
          <w:szCs w:val="24"/>
          <w:lang w:val="es-ES" w:eastAsia="es-ES_tradnl"/>
        </w:rPr>
      </w:pPr>
      <w:r w:rsidRPr="00644913">
        <w:rPr>
          <w:rFonts w:ascii="Palatino Linotype" w:eastAsia="Calibri" w:hAnsi="Palatino Linotype" w:cs="Tahoma"/>
          <w:i/>
          <w:iCs/>
          <w:szCs w:val="24"/>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9498B" w:rsidRPr="0009123A" w:rsidRDefault="00644913" w:rsidP="00644913">
      <w:pPr>
        <w:tabs>
          <w:tab w:val="left" w:pos="4962"/>
        </w:tabs>
        <w:spacing w:line="360" w:lineRule="auto"/>
        <w:ind w:left="567" w:right="616"/>
        <w:jc w:val="both"/>
        <w:rPr>
          <w:rFonts w:ascii="Palatino Linotype" w:hAnsi="Palatino Linotype" w:cs="Arial"/>
          <w:i/>
          <w:szCs w:val="24"/>
        </w:rPr>
      </w:pPr>
      <w:r w:rsidRPr="00644913">
        <w:rPr>
          <w:rFonts w:ascii="Palatino Linotype" w:eastAsia="Calibri" w:hAnsi="Palatino Linotype" w:cs="Tahoma"/>
          <w:i/>
          <w:iCs/>
          <w:szCs w:val="24"/>
          <w:lang w:val="es-ES" w:eastAsia="es-ES_tradnl"/>
        </w:rPr>
        <w:t>Por tanto, el presente estudio versará en relación a la inconformidad expresada por EL RECURRENTE, respecto de la información en la que conste si la administración de la laguna de La Piedad, ubicada en el municipio de Cuautitlán Izcalli, está a cargo de la Comisión del Agua del Estado de México.</w:t>
      </w:r>
      <w:r w:rsidR="0009123A"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lastRenderedPageBreak/>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00644913">
        <w:rPr>
          <w:rFonts w:ascii="Palatino Linotype" w:hAnsi="Palatino Linotype" w:cs="Arial"/>
          <w:b/>
          <w:i/>
          <w:szCs w:val="24"/>
        </w:rPr>
        <w:t>“actos consentidos”.</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3D7066" w:rsidRDefault="0046491C" w:rsidP="003D7066">
      <w:pPr>
        <w:pStyle w:val="Ttulo2"/>
        <w:numPr>
          <w:ilvl w:val="0"/>
          <w:numId w:val="36"/>
        </w:numPr>
        <w:rPr>
          <w:rFonts w:ascii="Palatino Linotype" w:hAnsi="Palatino Linotype"/>
          <w:b/>
          <w:color w:val="auto"/>
          <w:sz w:val="24"/>
        </w:rPr>
      </w:pPr>
      <w:bookmarkStart w:id="4" w:name="_Toc4753405"/>
      <w:r w:rsidRPr="003D7066">
        <w:rPr>
          <w:rFonts w:ascii="Palatino Linotype" w:hAnsi="Palatino Linotype"/>
          <w:b/>
          <w:color w:val="auto"/>
          <w:sz w:val="24"/>
        </w:rPr>
        <w:t>Los actos consentidos no deben invocarse en el derecho fundamental de acceder a la información pública gubernamental.</w:t>
      </w:r>
      <w:bookmarkEnd w:id="4"/>
    </w:p>
    <w:p w:rsidR="00FC5012" w:rsidRPr="0009123A" w:rsidRDefault="00FC5012" w:rsidP="00FC5012">
      <w:pPr>
        <w:rPr>
          <w:rFonts w:ascii="Palatino Linotype" w:hAnsi="Palatino Linotype"/>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En la resolución se precisa, un criterio </w:t>
      </w:r>
      <w:r w:rsidR="00260D6C" w:rsidRPr="0009123A">
        <w:rPr>
          <w:rFonts w:ascii="Palatino Linotype" w:hAnsi="Palatino Linotype" w:cs="Arial"/>
          <w:sz w:val="24"/>
          <w:szCs w:val="24"/>
        </w:rPr>
        <w:t>denominado</w:t>
      </w:r>
      <w:r w:rsidRPr="0009123A">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w:t>
      </w:r>
      <w:r w:rsidRPr="0009123A">
        <w:rPr>
          <w:rFonts w:ascii="Palatino Linotype" w:hAnsi="Palatino Linotype" w:cs="Arial"/>
          <w:sz w:val="24"/>
          <w:szCs w:val="24"/>
        </w:rPr>
        <w:lastRenderedPageBreak/>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9123A">
        <w:rPr>
          <w:rFonts w:ascii="Palatino Linotype" w:hAnsi="Palatino Linotype" w:cs="Arial"/>
          <w:b/>
          <w:sz w:val="24"/>
          <w:szCs w:val="24"/>
        </w:rPr>
        <w:t>acudir a un profesionista del derecho</w:t>
      </w:r>
      <w:r w:rsidRPr="0009123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9123A">
        <w:rPr>
          <w:rStyle w:val="Refdenotaalpie"/>
          <w:rFonts w:ascii="Palatino Linotype" w:hAnsi="Palatino Linotype" w:cs="Arial"/>
          <w:sz w:val="24"/>
          <w:szCs w:val="24"/>
        </w:rPr>
        <w:footnoteReference w:id="1"/>
      </w:r>
      <w:r w:rsidRPr="0009123A">
        <w:rPr>
          <w:rFonts w:ascii="Palatino Linotype" w:hAnsi="Palatino Linotype" w:cs="Arial"/>
          <w:sz w:val="24"/>
          <w:szCs w:val="24"/>
        </w:rPr>
        <w:t xml:space="preserve"> Según este mismo autor, “…es siempre obligatoria… </w:t>
      </w:r>
      <w:r w:rsidRPr="0009123A">
        <w:rPr>
          <w:rFonts w:ascii="Palatino Linotype" w:hAnsi="Palatino Linotype" w:cs="Arial"/>
          <w:sz w:val="24"/>
          <w:szCs w:val="24"/>
        </w:rPr>
        <w:lastRenderedPageBreak/>
        <w:t>respecto de los errores o defectos de los conceptos de violación expresados en la demanda, así como los de los agravios formulados en los recursos que el mismo ordenamiento establece”.</w:t>
      </w:r>
      <w:r w:rsidRPr="0009123A">
        <w:rPr>
          <w:rStyle w:val="Refdenotaalpie"/>
          <w:rFonts w:ascii="Palatino Linotype" w:hAnsi="Palatino Linotype" w:cs="Arial"/>
          <w:sz w:val="24"/>
          <w:szCs w:val="24"/>
        </w:rPr>
        <w:footnoteReference w:id="2"/>
      </w:r>
      <w:r w:rsidRPr="0009123A">
        <w:rPr>
          <w:rFonts w:ascii="Palatino Linotype" w:hAnsi="Palatino Linotype" w:cs="Arial"/>
          <w:sz w:val="24"/>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lastRenderedPageBreak/>
        <w:t>En este sentido el Dr. Miguel Carbonell ha señalado que:</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9123A">
        <w:rPr>
          <w:rFonts w:ascii="Palatino Linotype" w:hAnsi="Palatino Linotype" w:cs="Arial"/>
          <w:b/>
          <w:sz w:val="24"/>
          <w:szCs w:val="24"/>
        </w:rPr>
        <w:t>considerando que algún nivel de gobierno tenga obligaciones reforzadas hacia ciertos derechos.</w:t>
      </w:r>
      <w:r w:rsidRPr="0009123A">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9123A">
        <w:rPr>
          <w:rFonts w:ascii="Palatino Linotype" w:hAnsi="Palatino Linotype" w:cs="Arial"/>
          <w:b/>
          <w:sz w:val="24"/>
          <w:szCs w:val="24"/>
        </w:rPr>
        <w:t>tomar todas las medidas que sean pertinentes para tutelar y hacer eficaz un derecho</w:t>
      </w:r>
      <w:r w:rsidRPr="0009123A">
        <w:rPr>
          <w:rFonts w:ascii="Palatino Linotype" w:hAnsi="Palatino Linotype" w:cs="Arial"/>
          <w:sz w:val="24"/>
          <w:szCs w:val="24"/>
        </w:rPr>
        <w:t>”.</w:t>
      </w:r>
      <w:r w:rsidRPr="0009123A">
        <w:rPr>
          <w:rStyle w:val="Refdenotaalpie"/>
          <w:rFonts w:ascii="Palatino Linotype" w:hAnsi="Palatino Linotype" w:cs="Arial"/>
          <w:sz w:val="24"/>
          <w:szCs w:val="24"/>
        </w:rPr>
        <w:footnoteReference w:id="3"/>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Por lo que restringir el derecho de acceso a la información pública del particular</w:t>
      </w:r>
      <w:r w:rsidRPr="0009123A">
        <w:rPr>
          <w:rFonts w:ascii="Palatino Linotype" w:hAnsi="Palatino Linotype" w:cs="Arial"/>
          <w:b/>
          <w:sz w:val="24"/>
          <w:szCs w:val="24"/>
        </w:rPr>
        <w:t xml:space="preserve"> </w:t>
      </w:r>
      <w:r w:rsidRPr="0009123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9123A" w:rsidRDefault="0046491C" w:rsidP="00E34F08">
      <w:pPr>
        <w:pStyle w:val="Prrafodelista"/>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w:t>
      </w:r>
      <w:r w:rsidRPr="0009123A">
        <w:rPr>
          <w:rFonts w:ascii="Palatino Linotype" w:hAnsi="Palatino Linotype" w:cs="Arial"/>
          <w:sz w:val="24"/>
          <w:szCs w:val="24"/>
        </w:rPr>
        <w:lastRenderedPageBreak/>
        <w:t>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Mucho menos si consideramos el siguiente criterio: DERECHOS HUMANOS. OBLIGACIÓN DE PROTEGERLOS EN TÉRMINOS DEL ARTÍCULO 1o., </w:t>
      </w:r>
      <w:r w:rsidRPr="0009123A">
        <w:rPr>
          <w:rFonts w:ascii="Palatino Linotype" w:hAnsi="Palatino Linotype" w:cs="Arial"/>
          <w:sz w:val="24"/>
          <w:szCs w:val="24"/>
        </w:rPr>
        <w:lastRenderedPageBreak/>
        <w:t xml:space="preserve">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9123A">
        <w:rPr>
          <w:rFonts w:ascii="Palatino Linotype" w:hAnsi="Palatino Linotype" w:cs="Arial"/>
          <w:b/>
          <w:sz w:val="24"/>
          <w:szCs w:val="24"/>
        </w:rPr>
        <w:t>el deber que tienen los órganos del Estado, dentro del margen de sus atribuciones, de prevenir violaciones a los derechos fundamentales,</w:t>
      </w:r>
      <w:r w:rsidRPr="0009123A">
        <w:rPr>
          <w:rFonts w:ascii="Palatino Linotype" w:hAnsi="Palatino Linotype" w:cs="Arial"/>
          <w:sz w:val="24"/>
          <w:szCs w:val="24"/>
        </w:rPr>
        <w:t xml:space="preserve"> ya sea que provengan de una autoridad o de algún particular y, por ello, </w:t>
      </w:r>
      <w:r w:rsidRPr="0009123A">
        <w:rPr>
          <w:rFonts w:ascii="Palatino Linotype" w:hAnsi="Palatino Linotype" w:cs="Arial"/>
          <w:b/>
          <w:sz w:val="24"/>
          <w:szCs w:val="24"/>
        </w:rPr>
        <w:t>debe contarse</w:t>
      </w:r>
      <w:r w:rsidRPr="0009123A">
        <w:rPr>
          <w:rFonts w:ascii="Palatino Linotype" w:hAnsi="Palatino Linotype" w:cs="Arial"/>
          <w:sz w:val="24"/>
          <w:szCs w:val="24"/>
        </w:rPr>
        <w:t xml:space="preserve"> tanto </w:t>
      </w:r>
      <w:r w:rsidRPr="0009123A">
        <w:rPr>
          <w:rFonts w:ascii="Palatino Linotype" w:hAnsi="Palatino Linotype" w:cs="Arial"/>
          <w:b/>
          <w:sz w:val="24"/>
          <w:szCs w:val="24"/>
        </w:rPr>
        <w:t>con mecanismos</w:t>
      </w:r>
      <w:r w:rsidRPr="0009123A">
        <w:rPr>
          <w:rFonts w:ascii="Palatino Linotype" w:hAnsi="Palatino Linotype" w:cs="Arial"/>
          <w:sz w:val="24"/>
          <w:szCs w:val="24"/>
        </w:rPr>
        <w:t xml:space="preserve"> de vigilancia como </w:t>
      </w:r>
      <w:r w:rsidRPr="0009123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9123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w:t>
      </w:r>
      <w:r w:rsidRPr="0009123A">
        <w:rPr>
          <w:rFonts w:ascii="Palatino Linotype" w:hAnsi="Palatino Linotype" w:cs="Arial"/>
          <w:sz w:val="24"/>
          <w:szCs w:val="24"/>
        </w:rPr>
        <w:lastRenderedPageBreak/>
        <w:t>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Cs w:val="24"/>
        </w:rPr>
      </w:pPr>
      <w:r w:rsidRPr="0009123A">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09123A">
        <w:rPr>
          <w:rFonts w:ascii="Palatino Linotype" w:hAnsi="Palatino Linotype" w:cs="Arial"/>
          <w:b/>
          <w:szCs w:val="24"/>
        </w:rPr>
        <w:t>SUJETOS OBLIGADOS</w:t>
      </w:r>
      <w:r w:rsidRPr="0009123A">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Pr="0009123A">
        <w:rPr>
          <w:rFonts w:ascii="Palatino Linotype" w:hAnsi="Palatino Linotype" w:cs="Arial"/>
          <w:sz w:val="24"/>
          <w:szCs w:val="24"/>
        </w:rPr>
        <w:lastRenderedPageBreak/>
        <w:t>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09123A"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r w:rsidRPr="0009123A">
        <w:rPr>
          <w:rFonts w:ascii="Palatino Linotype" w:hAnsi="Palatino Linotype" w:cs="Arial"/>
          <w:sz w:val="28"/>
          <w:szCs w:val="24"/>
        </w:rPr>
        <w:t>.</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w:t>
      </w:r>
      <w:r w:rsidRPr="0009123A">
        <w:rPr>
          <w:rFonts w:ascii="Palatino Linotype" w:hAnsi="Palatino Linotype" w:cs="Arial"/>
          <w:sz w:val="24"/>
          <w:szCs w:val="24"/>
        </w:rPr>
        <w:lastRenderedPageBreak/>
        <w:t>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29712E" w:rsidRDefault="0046491C" w:rsidP="0029712E">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Prrafodelista"/>
        <w:rPr>
          <w:rFonts w:ascii="Palatino Linotype" w:hAnsi="Palatino Linotype" w:cs="Arial"/>
          <w:sz w:val="24"/>
          <w:szCs w:val="24"/>
        </w:rPr>
      </w:pPr>
    </w:p>
    <w:p w:rsidR="0083373E" w:rsidRPr="0083373E" w:rsidRDefault="0083373E" w:rsidP="0083373E">
      <w:pPr>
        <w:pStyle w:val="Ttulo1"/>
        <w:numPr>
          <w:ilvl w:val="0"/>
          <w:numId w:val="12"/>
        </w:numPr>
        <w:ind w:left="709"/>
        <w:rPr>
          <w:rFonts w:ascii="Palatino Linotype" w:hAnsi="Palatino Linotype"/>
          <w:b/>
          <w:color w:val="000000" w:themeColor="text1"/>
          <w:sz w:val="24"/>
        </w:rPr>
      </w:pPr>
      <w:bookmarkStart w:id="5" w:name="_Toc273073"/>
      <w:bookmarkStart w:id="6" w:name="_Toc4753406"/>
      <w:r w:rsidRPr="0083373E">
        <w:rPr>
          <w:rFonts w:ascii="Palatino Linotype" w:hAnsi="Palatino Linotype"/>
          <w:b/>
          <w:color w:val="000000" w:themeColor="text1"/>
          <w:sz w:val="24"/>
        </w:rPr>
        <w:lastRenderedPageBreak/>
        <w:t>Del Pronunciamiento Simple</w:t>
      </w:r>
      <w:bookmarkEnd w:id="5"/>
      <w:bookmarkEnd w:id="6"/>
    </w:p>
    <w:p w:rsidR="0083373E" w:rsidRPr="00530CB3" w:rsidRDefault="0083373E" w:rsidP="0083373E"/>
    <w:p w:rsidR="0083373E" w:rsidRPr="00B22B30" w:rsidRDefault="0083373E" w:rsidP="0083373E">
      <w:pPr>
        <w:pStyle w:val="Prrafodelista"/>
        <w:numPr>
          <w:ilvl w:val="0"/>
          <w:numId w:val="1"/>
        </w:numPr>
        <w:spacing w:before="240" w:after="240" w:line="360" w:lineRule="auto"/>
        <w:ind w:left="426" w:right="49"/>
        <w:jc w:val="both"/>
        <w:rPr>
          <w:rFonts w:ascii="Palatino Linotype" w:eastAsia="Times New Roman" w:hAnsi="Palatino Linotype" w:cs="Arial"/>
          <w:i/>
          <w:sz w:val="24"/>
        </w:rPr>
      </w:pPr>
      <w:r>
        <w:rPr>
          <w:rFonts w:ascii="Palatino Linotype" w:eastAsia="Times New Roman" w:hAnsi="Palatino Linotype" w:cs="Arial"/>
          <w:sz w:val="24"/>
        </w:rPr>
        <w:t xml:space="preserve">El segundo aspecto el cual formulo el presente voto particular, es en razón de que el </w:t>
      </w:r>
      <w:r w:rsidRPr="00B22B30">
        <w:rPr>
          <w:rFonts w:ascii="Palatino Linotype" w:eastAsia="Times New Roman" w:hAnsi="Palatino Linotype" w:cs="Arial"/>
          <w:sz w:val="24"/>
        </w:rPr>
        <w:t xml:space="preserve">ponente se manifestó al respecto enfatizando que en el caso de que el </w:t>
      </w:r>
      <w:r w:rsidRPr="00B22B30">
        <w:rPr>
          <w:rFonts w:ascii="Palatino Linotype" w:eastAsia="Times New Roman" w:hAnsi="Palatino Linotype" w:cs="Arial"/>
          <w:b/>
          <w:sz w:val="24"/>
        </w:rPr>
        <w:t xml:space="preserve">SUJETO OBLIGADO </w:t>
      </w:r>
      <w:r w:rsidRPr="00B22B30">
        <w:rPr>
          <w:rFonts w:ascii="Palatino Linotype" w:eastAsia="Times New Roman" w:hAnsi="Palatino Linotype" w:cs="Arial"/>
          <w:sz w:val="24"/>
        </w:rPr>
        <w:t>no cuente con la información, bastará con que se pronuncie al respecto y lo haga del conocimiento del particular.</w:t>
      </w:r>
    </w:p>
    <w:p w:rsidR="0083373E" w:rsidRDefault="0083373E" w:rsidP="0083373E">
      <w:pPr>
        <w:numPr>
          <w:ilvl w:val="0"/>
          <w:numId w:val="1"/>
        </w:numPr>
        <w:spacing w:after="0" w:line="360" w:lineRule="auto"/>
        <w:ind w:left="426" w:right="49"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que no genera, posee o administre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83373E" w:rsidRPr="00427B79" w:rsidRDefault="0083373E" w:rsidP="0083373E">
      <w:pPr>
        <w:spacing w:after="0" w:line="360" w:lineRule="auto"/>
        <w:ind w:left="426" w:right="49"/>
        <w:contextualSpacing/>
        <w:jc w:val="both"/>
        <w:rPr>
          <w:rFonts w:ascii="Palatino Linotype" w:eastAsia="Calibri" w:hAnsi="Palatino Linotype" w:cs="Arial"/>
          <w:sz w:val="24"/>
          <w:szCs w:val="24"/>
        </w:rPr>
      </w:pPr>
    </w:p>
    <w:p w:rsidR="0083373E" w:rsidRPr="003D7066" w:rsidRDefault="0083373E" w:rsidP="003D7066">
      <w:pPr>
        <w:pStyle w:val="Ttulo2"/>
        <w:numPr>
          <w:ilvl w:val="0"/>
          <w:numId w:val="37"/>
        </w:numPr>
        <w:rPr>
          <w:rFonts w:ascii="Palatino Linotype" w:hAnsi="Palatino Linotype"/>
          <w:b/>
          <w:color w:val="auto"/>
          <w:sz w:val="24"/>
        </w:rPr>
      </w:pPr>
      <w:bookmarkStart w:id="7" w:name="_Toc273074"/>
      <w:bookmarkStart w:id="8" w:name="_Toc4753407"/>
      <w:r w:rsidRPr="003D7066">
        <w:rPr>
          <w:rFonts w:ascii="Palatino Linotype" w:hAnsi="Palatino Linotype"/>
          <w:b/>
          <w:color w:val="auto"/>
          <w:sz w:val="24"/>
        </w:rPr>
        <w:t>Del Derecho de Acceso a la información pública y el deber de motivar.</w:t>
      </w:r>
      <w:bookmarkEnd w:id="7"/>
      <w:bookmarkEnd w:id="8"/>
    </w:p>
    <w:p w:rsidR="0083373E" w:rsidRDefault="0083373E" w:rsidP="0083373E">
      <w:pPr>
        <w:pStyle w:val="Prrafodelista"/>
        <w:spacing w:line="360" w:lineRule="auto"/>
        <w:ind w:left="426"/>
        <w:jc w:val="both"/>
        <w:rPr>
          <w:rFonts w:ascii="Palatino Linotype" w:hAnsi="Palatino Linotype" w:cs="Arial"/>
          <w:sz w:val="24"/>
          <w:szCs w:val="24"/>
        </w:rPr>
      </w:pPr>
    </w:p>
    <w:p w:rsidR="0083373E" w:rsidRPr="00427B79" w:rsidRDefault="0083373E" w:rsidP="0083373E">
      <w:pPr>
        <w:pStyle w:val="Prrafodelista"/>
        <w:numPr>
          <w:ilvl w:val="0"/>
          <w:numId w:val="1"/>
        </w:numPr>
        <w:spacing w:after="0" w:line="360" w:lineRule="auto"/>
        <w:ind w:left="426" w:hanging="426"/>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83373E" w:rsidRPr="00427B79" w:rsidRDefault="0083373E" w:rsidP="0083373E">
      <w:pPr>
        <w:pStyle w:val="Prrafodelista"/>
        <w:spacing w:after="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83373E" w:rsidRPr="00427B79" w:rsidRDefault="0083373E" w:rsidP="0083373E">
      <w:pPr>
        <w:pStyle w:val="Prrafodelista"/>
        <w:numPr>
          <w:ilvl w:val="0"/>
          <w:numId w:val="30"/>
        </w:numPr>
        <w:autoSpaceDE w:val="0"/>
        <w:autoSpaceDN w:val="0"/>
        <w:adjustRightInd w:val="0"/>
        <w:spacing w:before="240" w:after="240" w:line="360" w:lineRule="auto"/>
        <w:ind w:left="851" w:right="616" w:hanging="426"/>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83373E" w:rsidRPr="00427B79" w:rsidRDefault="0083373E" w:rsidP="0083373E">
      <w:pPr>
        <w:pStyle w:val="Prrafodelista"/>
        <w:autoSpaceDE w:val="0"/>
        <w:autoSpaceDN w:val="0"/>
        <w:adjustRightInd w:val="0"/>
        <w:spacing w:before="240" w:after="240" w:line="360" w:lineRule="auto"/>
        <w:ind w:left="426" w:right="616" w:hanging="426"/>
        <w:jc w:val="both"/>
        <w:rPr>
          <w:rFonts w:ascii="Palatino Linotype" w:hAnsi="Palatino Linotype" w:cs="Arial"/>
          <w:bCs/>
          <w:color w:val="000000" w:themeColor="text1"/>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y </w:t>
      </w:r>
      <w:r w:rsidRPr="00427B79">
        <w:rPr>
          <w:rFonts w:ascii="Palatino Linotype" w:hAnsi="Palatino Linotype"/>
          <w:sz w:val="24"/>
          <w:szCs w:val="24"/>
        </w:rPr>
        <w:lastRenderedPageBreak/>
        <w:t>decisiones en los distintos niveles de poder, eso permite evitar, prevenir y en su caso, castigar el abuso de poder.</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w:t>
      </w:r>
      <w:r w:rsidRPr="00427B79">
        <w:rPr>
          <w:rFonts w:ascii="Palatino Linotype" w:hAnsi="Palatino Linotype"/>
          <w:sz w:val="24"/>
          <w:szCs w:val="24"/>
        </w:rPr>
        <w:lastRenderedPageBreak/>
        <w:t>garantiza sin menoscabo de la intimidad de la vida privada y de los datos personales.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427B79"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83373E" w:rsidRPr="00427B79" w:rsidRDefault="0083373E" w:rsidP="0083373E">
      <w:pPr>
        <w:pStyle w:val="Prrafodelista"/>
        <w:spacing w:before="240" w:after="240" w:line="360" w:lineRule="auto"/>
        <w:ind w:left="426" w:hanging="426"/>
        <w:jc w:val="both"/>
        <w:rPr>
          <w:rFonts w:ascii="Palatino Linotype" w:hAnsi="Palatino Linotype" w:cs="Arial"/>
          <w:sz w:val="24"/>
          <w:szCs w:val="24"/>
          <w:highlight w:val="lightGray"/>
        </w:rPr>
      </w:pPr>
    </w:p>
    <w:p w:rsidR="0083373E" w:rsidRPr="00D35B4C" w:rsidRDefault="0083373E" w:rsidP="0083373E">
      <w:pPr>
        <w:pStyle w:val="Prrafodelista"/>
        <w:numPr>
          <w:ilvl w:val="0"/>
          <w:numId w:val="1"/>
        </w:numPr>
        <w:spacing w:before="240" w:after="240" w:line="360" w:lineRule="auto"/>
        <w:ind w:left="426" w:hanging="426"/>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83373E" w:rsidRPr="00D35B4C" w:rsidRDefault="0083373E" w:rsidP="0083373E">
      <w:pPr>
        <w:pStyle w:val="Prrafodelista"/>
        <w:spacing w:before="240" w:after="240" w:line="360" w:lineRule="auto"/>
        <w:ind w:left="426" w:hanging="426"/>
        <w:jc w:val="both"/>
        <w:rPr>
          <w:rFonts w:ascii="Palatino Linotype" w:hAnsi="Palatino Linotype" w:cs="Arial"/>
          <w:sz w:val="24"/>
          <w:szCs w:val="24"/>
        </w:rPr>
      </w:pPr>
    </w:p>
    <w:p w:rsidR="0083373E" w:rsidRPr="00D35B4C"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sz w:val="24"/>
          <w:szCs w:val="24"/>
        </w:rPr>
        <w:t>Bajo la tesitura de lo anteriormente expuesto</w:t>
      </w:r>
      <w:r w:rsidRPr="006A0497">
        <w:rPr>
          <w:rFonts w:ascii="Palatino Linotype" w:hAnsi="Palatino Linotype"/>
          <w:bCs/>
          <w:color w:val="000000" w:themeColor="text1"/>
          <w:sz w:val="24"/>
          <w:szCs w:val="24"/>
        </w:rPr>
        <w:t xml:space="preserve"> </w:t>
      </w:r>
      <w:r w:rsidRPr="006A049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83373E" w:rsidRPr="006A0497" w:rsidRDefault="0083373E" w:rsidP="0083373E">
      <w:pPr>
        <w:pStyle w:val="Prrafodelista"/>
        <w:numPr>
          <w:ilvl w:val="0"/>
          <w:numId w:val="1"/>
        </w:numPr>
        <w:spacing w:before="240" w:after="240" w:line="360" w:lineRule="auto"/>
        <w:ind w:left="426" w:hanging="426"/>
        <w:jc w:val="both"/>
        <w:rPr>
          <w:rFonts w:ascii="Palatino Linotype" w:hAnsi="Palatino Linotype"/>
          <w:bCs/>
          <w:color w:val="000000" w:themeColor="text1"/>
          <w:sz w:val="24"/>
          <w:szCs w:val="24"/>
        </w:rPr>
      </w:pPr>
      <w:r w:rsidRPr="006A0497">
        <w:rPr>
          <w:rFonts w:ascii="Palatino Linotype" w:hAnsi="Palatino Linotype"/>
          <w:bCs/>
          <w:color w:val="000000" w:themeColor="text1"/>
          <w:sz w:val="24"/>
          <w:szCs w:val="24"/>
        </w:rPr>
        <w:lastRenderedPageBreak/>
        <w:t xml:space="preserve">Por lo que si en los puntos resolutivos se está ordenando al </w:t>
      </w:r>
      <w:r w:rsidRPr="006A0497">
        <w:rPr>
          <w:rFonts w:ascii="Palatino Linotype" w:hAnsi="Palatino Linotype"/>
          <w:b/>
          <w:bCs/>
          <w:color w:val="000000" w:themeColor="text1"/>
          <w:sz w:val="24"/>
          <w:szCs w:val="24"/>
        </w:rPr>
        <w:t>SUJETO OBLIGADO</w:t>
      </w:r>
      <w:r w:rsidRPr="006A0497">
        <w:rPr>
          <w:rFonts w:ascii="Palatino Linotype" w:hAnsi="Palatino Linotype"/>
          <w:bCs/>
          <w:color w:val="000000" w:themeColor="text1"/>
          <w:sz w:val="24"/>
          <w:szCs w:val="24"/>
        </w:rPr>
        <w:t xml:space="preserve"> </w:t>
      </w:r>
      <w:r w:rsidRPr="006A0497">
        <w:rPr>
          <w:rFonts w:ascii="Palatino Linotype" w:hAnsi="Palatino Linotype" w:cs="Arial"/>
          <w:sz w:val="24"/>
          <w:szCs w:val="24"/>
        </w:rPr>
        <w:t xml:space="preserve">realizar una búsqueda de la información solicitada en términos del Considerando </w:t>
      </w:r>
      <w:r w:rsidRPr="006A0497">
        <w:rPr>
          <w:rFonts w:ascii="Palatino Linotype" w:hAnsi="Palatino Linotype" w:cs="Arial"/>
          <w:b/>
          <w:sz w:val="24"/>
          <w:szCs w:val="24"/>
        </w:rPr>
        <w:t>CUARTO</w:t>
      </w:r>
      <w:r w:rsidRPr="006A0497">
        <w:rPr>
          <w:rFonts w:ascii="Palatino Linotype" w:hAnsi="Palatino Linotype" w:cs="Arial"/>
          <w:sz w:val="24"/>
          <w:szCs w:val="24"/>
        </w:rPr>
        <w:t>, y entregarla al particular ya no cabe la manifestación simple y llana, sino que se deben observar dos puntos importantes:</w:t>
      </w:r>
    </w:p>
    <w:p w:rsidR="0083373E" w:rsidRPr="00427B79" w:rsidRDefault="0083373E" w:rsidP="0083373E">
      <w:pPr>
        <w:pStyle w:val="Prrafodelista"/>
        <w:spacing w:before="240" w:after="240" w:line="360" w:lineRule="auto"/>
        <w:ind w:left="426" w:hanging="426"/>
        <w:jc w:val="both"/>
        <w:rPr>
          <w:rFonts w:ascii="Palatino Linotype" w:hAnsi="Palatino Linotype"/>
          <w:bCs/>
          <w:color w:val="000000" w:themeColor="text1"/>
          <w:sz w:val="24"/>
          <w:szCs w:val="24"/>
          <w:highlight w:val="lightGray"/>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83373E" w:rsidRPr="00D35B4C" w:rsidRDefault="0083373E" w:rsidP="0083373E">
      <w:pPr>
        <w:pStyle w:val="Prrafodelista"/>
        <w:spacing w:before="240" w:after="240" w:line="360" w:lineRule="auto"/>
        <w:ind w:left="851" w:right="616" w:hanging="426"/>
        <w:jc w:val="both"/>
        <w:rPr>
          <w:rFonts w:ascii="Palatino Linotype" w:hAnsi="Palatino Linotype"/>
          <w:bCs/>
          <w:color w:val="000000" w:themeColor="text1"/>
          <w:sz w:val="24"/>
          <w:szCs w:val="24"/>
        </w:rPr>
      </w:pPr>
    </w:p>
    <w:p w:rsidR="0083373E" w:rsidRPr="00D35B4C" w:rsidRDefault="0083373E" w:rsidP="0083373E">
      <w:pPr>
        <w:pStyle w:val="Prrafodelista"/>
        <w:numPr>
          <w:ilvl w:val="0"/>
          <w:numId w:val="31"/>
        </w:numPr>
        <w:spacing w:before="240" w:after="240" w:line="360" w:lineRule="auto"/>
        <w:ind w:left="851" w:right="616" w:hanging="426"/>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83373E" w:rsidRPr="00427B79" w:rsidRDefault="0083373E" w:rsidP="0083373E">
      <w:pPr>
        <w:pStyle w:val="Prrafodelista"/>
        <w:spacing w:before="240" w:after="240" w:line="360" w:lineRule="auto"/>
        <w:ind w:left="426" w:hanging="426"/>
        <w:jc w:val="both"/>
        <w:rPr>
          <w:rFonts w:ascii="Palatino Linotype" w:hAnsi="Palatino Linotype"/>
          <w:sz w:val="24"/>
          <w:szCs w:val="24"/>
          <w:highlight w:val="lightGray"/>
        </w:rPr>
      </w:pPr>
    </w:p>
    <w:p w:rsidR="0083373E" w:rsidRPr="00B22B30" w:rsidRDefault="0083373E" w:rsidP="0083373E">
      <w:pPr>
        <w:pStyle w:val="Prrafodelista"/>
        <w:numPr>
          <w:ilvl w:val="0"/>
          <w:numId w:val="1"/>
        </w:numPr>
        <w:pBdr>
          <w:top w:val="nil"/>
          <w:left w:val="nil"/>
          <w:bottom w:val="nil"/>
          <w:right w:val="nil"/>
          <w:between w:val="nil"/>
          <w:bar w:val="nil"/>
        </w:pBdr>
        <w:spacing w:before="240" w:after="240" w:line="360" w:lineRule="auto"/>
        <w:ind w:left="426" w:hanging="426"/>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83373E" w:rsidRPr="00D35B4C" w:rsidRDefault="0083373E" w:rsidP="0083373E">
      <w:pPr>
        <w:pStyle w:val="Prrafodelista"/>
        <w:pBdr>
          <w:top w:val="nil"/>
          <w:left w:val="nil"/>
          <w:bottom w:val="nil"/>
          <w:right w:val="nil"/>
          <w:between w:val="nil"/>
          <w:bar w:val="nil"/>
        </w:pBdr>
        <w:spacing w:before="240" w:after="240" w:line="360" w:lineRule="auto"/>
        <w:ind w:left="426"/>
        <w:jc w:val="both"/>
        <w:rPr>
          <w:rFonts w:ascii="Palatino Linotype" w:hAnsi="Palatino Linotype"/>
          <w:sz w:val="24"/>
          <w:szCs w:val="24"/>
        </w:rPr>
      </w:pPr>
    </w:p>
    <w:p w:rsidR="0083373E" w:rsidRPr="003D7066" w:rsidRDefault="0083373E" w:rsidP="003D7066">
      <w:pPr>
        <w:pStyle w:val="Ttulo2"/>
        <w:numPr>
          <w:ilvl w:val="0"/>
          <w:numId w:val="37"/>
        </w:numPr>
        <w:rPr>
          <w:rFonts w:ascii="Palatino Linotype" w:eastAsia="Calibri" w:hAnsi="Palatino Linotype"/>
          <w:b/>
          <w:color w:val="auto"/>
          <w:sz w:val="24"/>
        </w:rPr>
      </w:pPr>
      <w:bookmarkStart w:id="9" w:name="_Toc273075"/>
      <w:bookmarkStart w:id="10" w:name="_Toc4753408"/>
      <w:r w:rsidRPr="003D7066">
        <w:rPr>
          <w:rFonts w:ascii="Palatino Linotype" w:eastAsia="Calibri" w:hAnsi="Palatino Linotype"/>
          <w:b/>
          <w:color w:val="auto"/>
          <w:sz w:val="24"/>
        </w:rPr>
        <w:t>De la fundamentación y motivación.</w:t>
      </w:r>
      <w:bookmarkEnd w:id="9"/>
      <w:bookmarkEnd w:id="10"/>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83373E" w:rsidRPr="00427B79" w:rsidRDefault="0083373E" w:rsidP="0083373E">
      <w:pPr>
        <w:spacing w:after="0" w:line="360" w:lineRule="auto"/>
        <w:ind w:left="426" w:right="618" w:hanging="426"/>
        <w:contextualSpacing/>
        <w:jc w:val="both"/>
        <w:rPr>
          <w:rFonts w:ascii="Palatino Linotype" w:eastAsiaTheme="minorEastAsia" w:hAnsi="Palatino Linotype" w:cs="Arial"/>
          <w:sz w:val="24"/>
          <w:szCs w:val="24"/>
          <w:lang w:val="es-ES_tradnl" w:eastAsia="es-ES"/>
        </w:rPr>
      </w:pP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83373E" w:rsidRPr="00B73B30" w:rsidRDefault="0083373E" w:rsidP="0083373E">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83373E" w:rsidRPr="00427B79" w:rsidRDefault="0083373E" w:rsidP="0083373E">
      <w:pPr>
        <w:spacing w:after="0" w:line="360" w:lineRule="auto"/>
        <w:ind w:left="426" w:hanging="426"/>
        <w:contextualSpacing/>
        <w:jc w:val="both"/>
        <w:rPr>
          <w:rFonts w:ascii="Palatino Linotype" w:eastAsiaTheme="minorEastAsia" w:hAnsi="Palatino Linotype" w:cs="Arial"/>
          <w:sz w:val="24"/>
          <w:szCs w:val="24"/>
          <w:lang w:val="es-ES" w:eastAsia="es-ES"/>
        </w:rPr>
      </w:pPr>
    </w:p>
    <w:p w:rsidR="0083373E" w:rsidRPr="00427B79"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83373E" w:rsidRDefault="0083373E" w:rsidP="0083373E">
      <w:pPr>
        <w:pStyle w:val="Prrafodelista"/>
        <w:ind w:left="426"/>
        <w:rPr>
          <w:rFonts w:ascii="Palatino Linotype" w:eastAsia="Calibri" w:hAnsi="Palatino Linotype" w:cs="Arial"/>
          <w:sz w:val="24"/>
          <w:szCs w:val="24"/>
        </w:rPr>
      </w:pPr>
    </w:p>
    <w:p w:rsidR="0083373E"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83373E" w:rsidRDefault="0083373E" w:rsidP="0083373E">
      <w:pPr>
        <w:pStyle w:val="Prrafodelista"/>
        <w:ind w:left="426" w:hanging="426"/>
        <w:rPr>
          <w:rFonts w:ascii="Palatino Linotype" w:eastAsia="Calibri" w:hAnsi="Palatino Linotype" w:cs="Arial"/>
          <w:sz w:val="24"/>
          <w:szCs w:val="24"/>
          <w:lang w:val="es-ES_tradnl"/>
        </w:rPr>
      </w:pPr>
    </w:p>
    <w:p w:rsidR="0083373E" w:rsidRPr="00A22908" w:rsidRDefault="0083373E" w:rsidP="0083373E">
      <w:pPr>
        <w:numPr>
          <w:ilvl w:val="0"/>
          <w:numId w:val="1"/>
        </w:numPr>
        <w:spacing w:after="0" w:line="360" w:lineRule="auto"/>
        <w:ind w:left="426" w:hanging="426"/>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
        </w:rPr>
      </w:pPr>
    </w:p>
    <w:p w:rsidR="0083373E" w:rsidRPr="00A22908" w:rsidRDefault="0083373E" w:rsidP="0083373E">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83373E" w:rsidRPr="00A22908" w:rsidRDefault="0083373E" w:rsidP="0083373E">
      <w:pPr>
        <w:spacing w:after="0" w:line="360" w:lineRule="auto"/>
        <w:ind w:left="426" w:hanging="426"/>
        <w:contextualSpacing/>
        <w:jc w:val="both"/>
        <w:rPr>
          <w:rFonts w:ascii="Palatino Linotype" w:eastAsia="Calibri" w:hAnsi="Palatino Linotype" w:cs="Arial"/>
          <w:sz w:val="24"/>
          <w:szCs w:val="24"/>
          <w:lang w:val="es-ES_tradnl"/>
        </w:rPr>
      </w:pPr>
    </w:p>
    <w:p w:rsidR="0083373E" w:rsidRPr="00DB2E2D"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lang w:val="es-ES_tradnl"/>
        </w:rPr>
      </w:pPr>
      <w:r w:rsidRPr="00DB2E2D">
        <w:rPr>
          <w:rFonts w:ascii="Palatino Linotype" w:eastAsia="Calibri" w:hAnsi="Palatino Linotype" w:cs="Arial"/>
          <w:sz w:val="24"/>
          <w:szCs w:val="24"/>
          <w:lang w:val="es-ES_tradnl"/>
        </w:rPr>
        <w:t xml:space="preserve">De este precepto se deduce que en el régimen jurídico mexicano, la fundamentación y motivación de los actos o resoluciones no es exclusiva de los </w:t>
      </w:r>
      <w:r w:rsidRPr="00DB2E2D">
        <w:rPr>
          <w:rFonts w:ascii="Palatino Linotype" w:eastAsia="Calibri" w:hAnsi="Palatino Linotype" w:cs="Arial"/>
          <w:sz w:val="24"/>
          <w:szCs w:val="24"/>
          <w:lang w:val="es-ES_tradnl"/>
        </w:rPr>
        <w:lastRenderedPageBreak/>
        <w:t>órganos judiciales o jurisdiccionales, sino que se extiende a todas las autoridades.</w:t>
      </w:r>
    </w:p>
    <w:p w:rsidR="0083373E" w:rsidRPr="00DB2E2D" w:rsidRDefault="0083373E" w:rsidP="0083373E">
      <w:pPr>
        <w:pStyle w:val="Prrafodelista"/>
        <w:spacing w:after="0" w:line="360" w:lineRule="auto"/>
        <w:ind w:left="426" w:hanging="426"/>
        <w:jc w:val="both"/>
        <w:rPr>
          <w:rFonts w:ascii="Palatino Linotype" w:eastAsia="Calibri" w:hAnsi="Palatino Linotype" w:cs="Arial"/>
          <w:sz w:val="24"/>
          <w:szCs w:val="24"/>
          <w:lang w:val="es-ES_tradnl"/>
        </w:rPr>
      </w:pPr>
    </w:p>
    <w:p w:rsidR="0083373E" w:rsidRPr="005D395D" w:rsidRDefault="0083373E" w:rsidP="0083373E">
      <w:pPr>
        <w:pStyle w:val="Prrafodelista"/>
        <w:numPr>
          <w:ilvl w:val="0"/>
          <w:numId w:val="1"/>
        </w:numPr>
        <w:spacing w:after="0" w:line="360" w:lineRule="auto"/>
        <w:ind w:left="426" w:hanging="426"/>
        <w:jc w:val="both"/>
        <w:rPr>
          <w:rFonts w:ascii="Palatino Linotype" w:eastAsia="Calibri" w:hAnsi="Palatino Linotype" w:cs="Arial"/>
          <w:szCs w:val="24"/>
          <w:lang w:val="es-ES_tradnl"/>
        </w:rPr>
      </w:pPr>
      <w:r w:rsidRPr="005D395D">
        <w:rPr>
          <w:rFonts w:ascii="Palatino Linotype" w:eastAsia="Calibri" w:hAnsi="Palatino Linotype" w:cs="Arial"/>
          <w:szCs w:val="24"/>
          <w:lang w:val="es-ES_tradnl"/>
        </w:rPr>
        <w:t>En este contexto, en todo acto que la autoridad pronuncie en el ejercicio de sus atribuciones, debe expresar los fundamentos legales que le dieron origen y las razones por las que se deben aplicar al caso concreto.</w:t>
      </w:r>
    </w:p>
    <w:p w:rsidR="0083373E" w:rsidRPr="005D395D" w:rsidRDefault="0083373E" w:rsidP="0083373E">
      <w:pPr>
        <w:pStyle w:val="Prrafodelista"/>
        <w:spacing w:after="0" w:line="360" w:lineRule="auto"/>
        <w:ind w:left="426" w:hanging="426"/>
        <w:jc w:val="both"/>
        <w:rPr>
          <w:rFonts w:ascii="Palatino Linotype" w:eastAsia="Calibri" w:hAnsi="Palatino Linotype" w:cs="Arial"/>
          <w:szCs w:val="24"/>
          <w:lang w:val="es-ES_tradnl"/>
        </w:rPr>
      </w:pPr>
    </w:p>
    <w:p w:rsidR="0083373E" w:rsidRPr="005D395D" w:rsidRDefault="0083373E" w:rsidP="0083373E">
      <w:pPr>
        <w:pStyle w:val="Prrafodelista"/>
        <w:numPr>
          <w:ilvl w:val="0"/>
          <w:numId w:val="1"/>
        </w:numPr>
        <w:spacing w:after="0" w:line="360" w:lineRule="auto"/>
        <w:ind w:left="426" w:hanging="426"/>
        <w:jc w:val="both"/>
        <w:rPr>
          <w:rFonts w:ascii="Palatino Linotype" w:eastAsia="Calibri" w:hAnsi="Palatino Linotype" w:cs="Arial"/>
          <w:szCs w:val="24"/>
          <w:lang w:val="es-ES_tradnl"/>
        </w:rPr>
      </w:pPr>
      <w:r w:rsidRPr="005D395D">
        <w:rPr>
          <w:rFonts w:ascii="Palatino Linotype" w:eastAsia="Calibri" w:hAnsi="Palatino Linotype" w:cs="Arial"/>
          <w:szCs w:val="24"/>
          <w:lang w:val="es-ES_tradnl"/>
        </w:rPr>
        <w:t>Entonces, la fundamentación y motivación consiste en la obligación que tiene todo ente público de expresar los preceptos jurídicos aplicables al asunto motivo del acto y las razones o argumentos de su actuar.</w:t>
      </w:r>
    </w:p>
    <w:p w:rsidR="0083373E" w:rsidRPr="005D395D" w:rsidRDefault="0083373E" w:rsidP="0083373E">
      <w:pPr>
        <w:pStyle w:val="Prrafodelista"/>
        <w:ind w:left="426" w:hanging="426"/>
        <w:rPr>
          <w:rFonts w:ascii="Palatino Linotype" w:eastAsia="Calibri" w:hAnsi="Palatino Linotype" w:cs="Arial"/>
          <w:szCs w:val="24"/>
          <w:lang w:val="es-ES_tradnl"/>
        </w:rPr>
      </w:pPr>
    </w:p>
    <w:p w:rsidR="0083373E" w:rsidRPr="005D395D" w:rsidRDefault="0083373E" w:rsidP="0083373E">
      <w:pPr>
        <w:pStyle w:val="Prrafodelista"/>
        <w:numPr>
          <w:ilvl w:val="0"/>
          <w:numId w:val="1"/>
        </w:numPr>
        <w:spacing w:after="0" w:line="360" w:lineRule="auto"/>
        <w:ind w:left="426" w:hanging="426"/>
        <w:jc w:val="both"/>
        <w:rPr>
          <w:rFonts w:ascii="Palatino Linotype" w:eastAsia="Calibri" w:hAnsi="Palatino Linotype" w:cs="Arial"/>
          <w:szCs w:val="24"/>
          <w:lang w:val="es-ES_tradnl"/>
        </w:rPr>
      </w:pPr>
      <w:r w:rsidRPr="005D395D">
        <w:rPr>
          <w:rFonts w:ascii="Palatino Linotype" w:eastAsia="Calibri" w:hAnsi="Palatino Linotype" w:cs="Arial"/>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83373E" w:rsidRPr="005D395D" w:rsidRDefault="0083373E" w:rsidP="0083373E">
      <w:pPr>
        <w:spacing w:after="0" w:line="360" w:lineRule="auto"/>
        <w:ind w:left="426" w:right="616" w:hanging="426"/>
        <w:contextualSpacing/>
        <w:jc w:val="both"/>
        <w:rPr>
          <w:rFonts w:ascii="Palatino Linotype" w:eastAsia="Calibri" w:hAnsi="Palatino Linotype" w:cs="Arial"/>
          <w:i/>
          <w:szCs w:val="24"/>
          <w:lang w:val="es-ES_tradnl"/>
        </w:rPr>
      </w:pPr>
    </w:p>
    <w:p w:rsidR="0083373E" w:rsidRPr="005D395D" w:rsidRDefault="0083373E" w:rsidP="0083373E">
      <w:pPr>
        <w:pStyle w:val="Prrafodelista"/>
        <w:numPr>
          <w:ilvl w:val="0"/>
          <w:numId w:val="1"/>
        </w:numPr>
        <w:spacing w:after="0" w:line="360" w:lineRule="auto"/>
        <w:ind w:left="426" w:hanging="426"/>
        <w:jc w:val="both"/>
        <w:rPr>
          <w:rFonts w:ascii="Palatino Linotype" w:eastAsia="Calibri" w:hAnsi="Palatino Linotype" w:cs="Arial"/>
          <w:szCs w:val="24"/>
          <w:lang w:val="es-ES_tradnl"/>
        </w:rPr>
      </w:pPr>
      <w:r w:rsidRPr="005D395D">
        <w:rPr>
          <w:rFonts w:ascii="Palatino Linotype" w:eastAsia="Calibri" w:hAnsi="Palatino Linotype" w:cs="Arial"/>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3373E" w:rsidRPr="005D395D" w:rsidRDefault="0083373E" w:rsidP="0083373E">
      <w:pPr>
        <w:pStyle w:val="Prrafodelista"/>
        <w:spacing w:after="0" w:line="360" w:lineRule="auto"/>
        <w:ind w:left="426" w:hanging="426"/>
        <w:jc w:val="both"/>
        <w:rPr>
          <w:rFonts w:ascii="Palatino Linotype" w:eastAsia="Calibri" w:hAnsi="Palatino Linotype" w:cs="Arial"/>
          <w:szCs w:val="24"/>
          <w:lang w:val="es-ES_tradnl"/>
        </w:rPr>
      </w:pPr>
    </w:p>
    <w:p w:rsidR="0083373E" w:rsidRPr="005D395D" w:rsidRDefault="0083373E" w:rsidP="0083373E">
      <w:pPr>
        <w:pStyle w:val="Prrafodelista"/>
        <w:numPr>
          <w:ilvl w:val="0"/>
          <w:numId w:val="1"/>
        </w:numPr>
        <w:spacing w:after="0" w:line="360" w:lineRule="auto"/>
        <w:ind w:left="426" w:hanging="426"/>
        <w:jc w:val="both"/>
        <w:rPr>
          <w:rFonts w:ascii="Palatino Linotype" w:eastAsia="Calibri" w:hAnsi="Palatino Linotype" w:cs="Arial"/>
          <w:szCs w:val="24"/>
          <w:lang w:val="es-ES_tradnl"/>
        </w:rPr>
      </w:pPr>
      <w:r w:rsidRPr="005D395D">
        <w:rPr>
          <w:rFonts w:ascii="Palatino Linotype" w:eastAsia="Calibri" w:hAnsi="Palatino Linotype" w:cs="Arial"/>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3373E" w:rsidRPr="005D395D" w:rsidRDefault="0083373E" w:rsidP="0083373E">
      <w:pPr>
        <w:pStyle w:val="Prrafodelista"/>
        <w:spacing w:after="0" w:line="360" w:lineRule="auto"/>
        <w:ind w:left="426" w:hanging="426"/>
        <w:jc w:val="both"/>
        <w:rPr>
          <w:rFonts w:ascii="Palatino Linotype" w:eastAsia="Calibri" w:hAnsi="Palatino Linotype" w:cs="Arial"/>
          <w:szCs w:val="24"/>
          <w:lang w:val="es-ES_tradnl"/>
        </w:rPr>
      </w:pPr>
    </w:p>
    <w:p w:rsidR="0083373E" w:rsidRPr="005D395D" w:rsidRDefault="0083373E" w:rsidP="0083373E">
      <w:pPr>
        <w:numPr>
          <w:ilvl w:val="0"/>
          <w:numId w:val="1"/>
        </w:numPr>
        <w:spacing w:after="0" w:line="360" w:lineRule="auto"/>
        <w:ind w:left="426" w:hanging="426"/>
        <w:contextualSpacing/>
        <w:jc w:val="both"/>
        <w:rPr>
          <w:rFonts w:ascii="Palatino Linotype" w:eastAsia="Calibri" w:hAnsi="Palatino Linotype" w:cs="Arial"/>
          <w:szCs w:val="24"/>
        </w:rPr>
      </w:pPr>
      <w:r w:rsidRPr="005D395D">
        <w:rPr>
          <w:rFonts w:ascii="Palatino Linotype" w:eastAsia="Calibri" w:hAnsi="Palatino Linotype" w:cs="Arial"/>
          <w:szCs w:val="24"/>
        </w:rPr>
        <w:t xml:space="preserve">Es de mencionar que en caso de que el </w:t>
      </w:r>
      <w:r w:rsidRPr="005D395D">
        <w:rPr>
          <w:rFonts w:ascii="Palatino Linotype" w:eastAsia="Calibri" w:hAnsi="Palatino Linotype" w:cs="Arial"/>
          <w:b/>
          <w:szCs w:val="24"/>
        </w:rPr>
        <w:t>SUJETO OBLIGADO</w:t>
      </w:r>
      <w:r w:rsidRPr="005D395D">
        <w:rPr>
          <w:rFonts w:ascii="Palatino Linotype" w:eastAsia="Calibri" w:hAnsi="Palatino Linotype" w:cs="Arial"/>
          <w:szCs w:val="24"/>
        </w:rPr>
        <w:t xml:space="preserve">, no contara con la información solicitada por no encontrarse dentro de sus </w:t>
      </w:r>
      <w:r w:rsidRPr="005D395D">
        <w:rPr>
          <w:rFonts w:ascii="Palatino Linotype" w:hAnsi="Palatino Linotype"/>
          <w:szCs w:val="24"/>
        </w:rPr>
        <w:t>facultades, competencias o funcione</w:t>
      </w:r>
      <w:r w:rsidRPr="005D395D">
        <w:rPr>
          <w:rFonts w:ascii="Palatino Linotype" w:eastAsia="Calibri" w:hAnsi="Palatino Linotype" w:cs="Arial"/>
          <w:szCs w:val="24"/>
        </w:rPr>
        <w:t>s, deberá demostrarlo de manera fundada y motivada, de acuerdo al artículo 20 de la Ley de la materia, el cual establece que:</w:t>
      </w:r>
    </w:p>
    <w:p w:rsidR="003D7066" w:rsidRPr="003D7066" w:rsidRDefault="003D7066" w:rsidP="003D7066">
      <w:pPr>
        <w:pStyle w:val="Prrafodelista"/>
        <w:rPr>
          <w:rFonts w:ascii="Palatino Linotype" w:eastAsia="Calibri" w:hAnsi="Palatino Linotype" w:cs="Arial"/>
          <w:sz w:val="6"/>
          <w:szCs w:val="24"/>
        </w:rPr>
      </w:pPr>
    </w:p>
    <w:p w:rsidR="0083373E" w:rsidRPr="00DB2E2D" w:rsidRDefault="0083373E" w:rsidP="0083373E">
      <w:pPr>
        <w:spacing w:after="0" w:line="360" w:lineRule="auto"/>
        <w:ind w:left="567" w:right="616"/>
        <w:contextualSpacing/>
        <w:jc w:val="both"/>
        <w:rPr>
          <w:rFonts w:ascii="Palatino Linotype" w:eastAsia="Calibri" w:hAnsi="Palatino Linotype" w:cs="Arial"/>
          <w:i/>
          <w:szCs w:val="24"/>
        </w:rPr>
      </w:pPr>
      <w:r w:rsidRPr="00DB2E2D">
        <w:rPr>
          <w:rFonts w:ascii="Palatino Linotype" w:hAnsi="Palatino Linotype"/>
          <w:b/>
          <w:bCs/>
          <w:i/>
          <w:szCs w:val="24"/>
        </w:rPr>
        <w:t xml:space="preserve">Artículo 20. </w:t>
      </w:r>
      <w:r w:rsidRPr="00DB2E2D">
        <w:rPr>
          <w:rFonts w:ascii="Palatino Linotype" w:hAnsi="Palatino Linotype"/>
          <w:i/>
          <w:szCs w:val="24"/>
        </w:rPr>
        <w:t xml:space="preserve">Ante la negativa del acceso a la información </w:t>
      </w:r>
      <w:r w:rsidRPr="00DB2E2D">
        <w:rPr>
          <w:rFonts w:ascii="Palatino Linotype" w:hAnsi="Palatino Linotype"/>
          <w:b/>
          <w:i/>
          <w:szCs w:val="24"/>
        </w:rPr>
        <w:t>o su inexistencia</w:t>
      </w:r>
      <w:r w:rsidRPr="00DB2E2D">
        <w:rPr>
          <w:rFonts w:ascii="Palatino Linotype" w:hAnsi="Palatino Linotype"/>
          <w:i/>
          <w:szCs w:val="24"/>
        </w:rPr>
        <w:t xml:space="preserve">, el sujeto obligado deberá demostrar que la información solicitada está prevista en alguna de las excepciones contenidas en esta Ley o, en su caso, </w:t>
      </w:r>
      <w:r w:rsidRPr="00DB2E2D">
        <w:rPr>
          <w:rFonts w:ascii="Palatino Linotype" w:hAnsi="Palatino Linotype"/>
          <w:b/>
          <w:i/>
          <w:szCs w:val="24"/>
        </w:rPr>
        <w:t>demostrar que la información no se refiere a alguna de sus facultades, competencias o funciones.</w:t>
      </w:r>
    </w:p>
    <w:p w:rsidR="0083373E" w:rsidRPr="00427B79" w:rsidRDefault="0083373E" w:rsidP="0083373E">
      <w:pPr>
        <w:spacing w:after="0" w:line="360" w:lineRule="auto"/>
        <w:ind w:left="426" w:hanging="426"/>
        <w:contextualSpacing/>
        <w:jc w:val="both"/>
        <w:rPr>
          <w:rFonts w:ascii="Palatino Linotype" w:eastAsia="Calibri" w:hAnsi="Palatino Linotype" w:cs="Arial"/>
          <w:sz w:val="24"/>
          <w:szCs w:val="24"/>
        </w:rPr>
      </w:pPr>
    </w:p>
    <w:p w:rsidR="0083373E" w:rsidRPr="003D7066" w:rsidRDefault="0083373E" w:rsidP="0083373E">
      <w:pPr>
        <w:pStyle w:val="Prrafodelista"/>
        <w:numPr>
          <w:ilvl w:val="0"/>
          <w:numId w:val="1"/>
        </w:numPr>
        <w:spacing w:after="0" w:line="360" w:lineRule="auto"/>
        <w:ind w:left="426" w:hanging="426"/>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3D7066" w:rsidRPr="0083488C" w:rsidRDefault="003D7066" w:rsidP="003D7066">
      <w:pPr>
        <w:pStyle w:val="Prrafodelista"/>
        <w:spacing w:after="0" w:line="360" w:lineRule="auto"/>
        <w:ind w:left="426"/>
        <w:jc w:val="both"/>
        <w:rPr>
          <w:rFonts w:ascii="Palatino Linotype" w:eastAsia="Calibri" w:hAnsi="Palatino Linotype" w:cs="Arial"/>
          <w:sz w:val="24"/>
          <w:szCs w:val="24"/>
        </w:rPr>
      </w:pPr>
    </w:p>
    <w:p w:rsidR="0083373E"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lastRenderedPageBreak/>
        <w:t>FUNDAMENTACION Y MOTIVACION DE LOS ACTOS ADMINISTRATIVOS</w:t>
      </w:r>
      <w:r w:rsidRPr="0083488C">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83373E" w:rsidRPr="0083488C" w:rsidRDefault="0083373E" w:rsidP="0083373E">
      <w:pPr>
        <w:tabs>
          <w:tab w:val="left" w:pos="284"/>
        </w:tabs>
        <w:autoSpaceDE w:val="0"/>
        <w:autoSpaceDN w:val="0"/>
        <w:adjustRightInd w:val="0"/>
        <w:spacing w:after="0" w:line="360" w:lineRule="auto"/>
        <w:ind w:left="567" w:right="616"/>
        <w:jc w:val="both"/>
        <w:rPr>
          <w:rFonts w:ascii="Palatino Linotype" w:hAnsi="Palatino Linotype" w:cs="Times New Roman"/>
          <w:i/>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w:t>
      </w:r>
      <w:r w:rsidRPr="00C60111">
        <w:rPr>
          <w:rFonts w:ascii="Palatino Linotype" w:eastAsia="Calibri" w:hAnsi="Palatino Linotype" w:cs="Arial"/>
          <w:sz w:val="24"/>
          <w:szCs w:val="24"/>
        </w:rPr>
        <w:lastRenderedPageBreak/>
        <w:t>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83373E" w:rsidRPr="005D395D" w:rsidRDefault="0083373E" w:rsidP="0083373E">
      <w:pPr>
        <w:spacing w:after="0" w:line="360" w:lineRule="auto"/>
        <w:ind w:left="426" w:hanging="426"/>
        <w:contextualSpacing/>
        <w:jc w:val="both"/>
        <w:rPr>
          <w:rFonts w:ascii="Palatino Linotype" w:hAnsi="Palatino Linotype"/>
          <w:sz w:val="24"/>
          <w:szCs w:val="24"/>
        </w:rPr>
      </w:pPr>
    </w:p>
    <w:p w:rsidR="0083373E" w:rsidRPr="00C60111" w:rsidRDefault="0083373E" w:rsidP="0083373E">
      <w:pPr>
        <w:numPr>
          <w:ilvl w:val="0"/>
          <w:numId w:val="1"/>
        </w:numPr>
        <w:spacing w:after="0" w:line="360" w:lineRule="auto"/>
        <w:ind w:left="426" w:hanging="426"/>
        <w:contextualSpacing/>
        <w:jc w:val="both"/>
        <w:rPr>
          <w:rFonts w:ascii="Palatino Linotype" w:hAnsi="Palatino Linotype"/>
          <w:sz w:val="24"/>
          <w:szCs w:val="24"/>
        </w:rPr>
      </w:pPr>
      <w:r w:rsidRPr="00C60111">
        <w:rPr>
          <w:rFonts w:ascii="Palatino Linotype" w:eastAsia="Calibri" w:hAnsi="Palatino Linotype" w:cs="Arial"/>
          <w:sz w:val="24"/>
          <w:szCs w:val="24"/>
        </w:rPr>
        <w:t>T</w:t>
      </w:r>
      <w:r w:rsidRPr="00C60111">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83373E" w:rsidRDefault="0083373E" w:rsidP="0083373E">
      <w:pPr>
        <w:pStyle w:val="Prrafodelista"/>
        <w:spacing w:after="0" w:line="360" w:lineRule="auto"/>
        <w:ind w:left="426"/>
        <w:jc w:val="both"/>
        <w:rPr>
          <w:rFonts w:ascii="Palatino Linotype" w:hAnsi="Palatino Linotype" w:cs="Arial"/>
          <w:sz w:val="24"/>
          <w:szCs w:val="24"/>
        </w:rPr>
      </w:pPr>
    </w:p>
    <w:p w:rsidR="005D395D" w:rsidRDefault="005D395D" w:rsidP="0083373E">
      <w:pPr>
        <w:pStyle w:val="Prrafodelista"/>
        <w:spacing w:after="0" w:line="360" w:lineRule="auto"/>
        <w:ind w:left="426"/>
        <w:jc w:val="both"/>
        <w:rPr>
          <w:rFonts w:ascii="Palatino Linotype" w:hAnsi="Palatino Linotype" w:cs="Arial"/>
          <w:sz w:val="24"/>
          <w:szCs w:val="24"/>
        </w:rPr>
      </w:pPr>
    </w:p>
    <w:p w:rsidR="005D395D" w:rsidRDefault="005D395D" w:rsidP="0083373E">
      <w:pPr>
        <w:pStyle w:val="Prrafodelista"/>
        <w:spacing w:after="0" w:line="360" w:lineRule="auto"/>
        <w:ind w:left="426"/>
        <w:jc w:val="both"/>
        <w:rPr>
          <w:rFonts w:ascii="Palatino Linotype" w:hAnsi="Palatino Linotype" w:cs="Arial"/>
          <w:sz w:val="24"/>
          <w:szCs w:val="24"/>
        </w:rPr>
      </w:pPr>
    </w:p>
    <w:p w:rsidR="005D395D" w:rsidRDefault="005D395D" w:rsidP="0083373E">
      <w:pPr>
        <w:pStyle w:val="Prrafodelista"/>
        <w:spacing w:after="0" w:line="360" w:lineRule="auto"/>
        <w:ind w:left="426"/>
        <w:jc w:val="both"/>
        <w:rPr>
          <w:rFonts w:ascii="Palatino Linotype" w:hAnsi="Palatino Linotype" w:cs="Arial"/>
          <w:sz w:val="24"/>
          <w:szCs w:val="24"/>
        </w:rPr>
      </w:pPr>
    </w:p>
    <w:p w:rsidR="003D7066" w:rsidRDefault="003D7066" w:rsidP="00702BD9">
      <w:pPr>
        <w:pStyle w:val="Prrafodelista"/>
        <w:spacing w:after="0" w:line="360" w:lineRule="auto"/>
        <w:ind w:left="426"/>
        <w:jc w:val="both"/>
        <w:rPr>
          <w:rFonts w:ascii="Palatino Linotype" w:hAnsi="Palatino Linotype" w:cs="Arial"/>
          <w:sz w:val="24"/>
          <w:szCs w:val="24"/>
        </w:rPr>
      </w:pPr>
    </w:p>
    <w:p w:rsidR="003D7066" w:rsidRPr="0009123A" w:rsidRDefault="003D7066"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COMISIONADO</w:t>
      </w:r>
    </w:p>
    <w:p w:rsidR="005D395D" w:rsidRDefault="007872D1" w:rsidP="007872D1">
      <w:pPr>
        <w:spacing w:line="360" w:lineRule="auto"/>
        <w:jc w:val="center"/>
        <w:rPr>
          <w:rFonts w:ascii="Palatino Linotype" w:hAnsi="Palatino Linotype"/>
          <w:b/>
          <w:sz w:val="24"/>
          <w:szCs w:val="24"/>
        </w:rPr>
      </w:pPr>
      <w:r>
        <w:rPr>
          <w:rFonts w:ascii="Palatino Linotype" w:hAnsi="Palatino Linotype"/>
          <w:b/>
          <w:sz w:val="24"/>
          <w:szCs w:val="24"/>
        </w:rPr>
        <w:t>(Rúbrica)</w:t>
      </w: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9"/>
      <w:headerReference w:type="default" r:id="rId10"/>
      <w:footerReference w:type="even" r:id="rId11"/>
      <w:footerReference w:type="default" r:id="rId12"/>
      <w:headerReference w:type="first" r:id="rId13"/>
      <w:footerReference w:type="first" r:id="rId14"/>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56" w:rsidRDefault="00975456" w:rsidP="00E706DA">
      <w:pPr>
        <w:spacing w:after="0" w:line="240" w:lineRule="auto"/>
      </w:pPr>
      <w:r>
        <w:separator/>
      </w:r>
    </w:p>
  </w:endnote>
  <w:endnote w:type="continuationSeparator" w:id="0">
    <w:p w:rsidR="00975456" w:rsidRDefault="0097545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754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CF176A">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CF176A">
              <w:rPr>
                <w:rFonts w:ascii="Palatino Linotype" w:hAnsi="Palatino Linotype"/>
                <w:b/>
                <w:bCs/>
                <w:noProof/>
                <w:sz w:val="20"/>
                <w:szCs w:val="20"/>
              </w:rPr>
              <w:t>30</w:t>
            </w:r>
            <w:r w:rsidRPr="0052203D">
              <w:rPr>
                <w:rFonts w:ascii="Palatino Linotype" w:hAnsi="Palatino Linotype"/>
                <w:b/>
                <w:bCs/>
                <w:sz w:val="20"/>
                <w:szCs w:val="20"/>
              </w:rPr>
              <w:fldChar w:fldCharType="end"/>
            </w:r>
          </w:p>
        </w:sdtContent>
      </w:sdt>
    </w:sdtContent>
  </w:sdt>
  <w:p w:rsidR="00951E8B" w:rsidRDefault="0097545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9754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56" w:rsidRDefault="00975456" w:rsidP="00E706DA">
      <w:pPr>
        <w:spacing w:after="0" w:line="240" w:lineRule="auto"/>
      </w:pPr>
      <w:r>
        <w:separator/>
      </w:r>
    </w:p>
  </w:footnote>
  <w:footnote w:type="continuationSeparator" w:id="0">
    <w:p w:rsidR="00975456" w:rsidRDefault="0097545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7545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7545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9754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7545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9B4"/>
    <w:multiLevelType w:val="hybridMultilevel"/>
    <w:tmpl w:val="DEA05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C2328"/>
    <w:multiLevelType w:val="hybridMultilevel"/>
    <w:tmpl w:val="99EC5CF2"/>
    <w:lvl w:ilvl="0" w:tplc="906CED7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170A18EE"/>
    <w:multiLevelType w:val="hybridMultilevel"/>
    <w:tmpl w:val="47B8B44C"/>
    <w:lvl w:ilvl="0" w:tplc="8E9C622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9"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902EC6"/>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4B792B"/>
    <w:multiLevelType w:val="hybridMultilevel"/>
    <w:tmpl w:val="67E65770"/>
    <w:lvl w:ilvl="0" w:tplc="EAB48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63C95FCF"/>
    <w:multiLevelType w:val="hybridMultilevel"/>
    <w:tmpl w:val="C75CAEA4"/>
    <w:lvl w:ilvl="0" w:tplc="0EFA0958">
      <w:start w:val="1"/>
      <w:numFmt w:val="upperRoman"/>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B957A7"/>
    <w:multiLevelType w:val="hybridMultilevel"/>
    <w:tmpl w:val="B7BC47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CD5082"/>
    <w:multiLevelType w:val="hybridMultilevel"/>
    <w:tmpl w:val="F1D29DBA"/>
    <w:lvl w:ilvl="0" w:tplc="9418DF10">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5" w15:restartNumberingAfterBreak="0">
    <w:nsid w:val="7EF72F39"/>
    <w:multiLevelType w:val="hybridMultilevel"/>
    <w:tmpl w:val="A8F8E0D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
  </w:num>
  <w:num w:numId="3">
    <w:abstractNumId w:val="12"/>
  </w:num>
  <w:num w:numId="4">
    <w:abstractNumId w:val="16"/>
  </w:num>
  <w:num w:numId="5">
    <w:abstractNumId w:val="20"/>
  </w:num>
  <w:num w:numId="6">
    <w:abstractNumId w:val="22"/>
  </w:num>
  <w:num w:numId="7">
    <w:abstractNumId w:val="27"/>
  </w:num>
  <w:num w:numId="8">
    <w:abstractNumId w:val="25"/>
  </w:num>
  <w:num w:numId="9">
    <w:abstractNumId w:val="30"/>
  </w:num>
  <w:num w:numId="10">
    <w:abstractNumId w:val="6"/>
  </w:num>
  <w:num w:numId="11">
    <w:abstractNumId w:val="29"/>
  </w:num>
  <w:num w:numId="12">
    <w:abstractNumId w:val="15"/>
  </w:num>
  <w:num w:numId="13">
    <w:abstractNumId w:val="7"/>
  </w:num>
  <w:num w:numId="14">
    <w:abstractNumId w:val="11"/>
  </w:num>
  <w:num w:numId="15">
    <w:abstractNumId w:val="23"/>
  </w:num>
  <w:num w:numId="16">
    <w:abstractNumId w:val="3"/>
  </w:num>
  <w:num w:numId="17">
    <w:abstractNumId w:val="1"/>
  </w:num>
  <w:num w:numId="18">
    <w:abstractNumId w:val="17"/>
  </w:num>
  <w:num w:numId="19">
    <w:abstractNumId w:val="9"/>
  </w:num>
  <w:num w:numId="20">
    <w:abstractNumId w:val="26"/>
  </w:num>
  <w:num w:numId="21">
    <w:abstractNumId w:val="28"/>
  </w:num>
  <w:num w:numId="22">
    <w:abstractNumId w:val="10"/>
  </w:num>
  <w:num w:numId="23">
    <w:abstractNumId w:val="18"/>
  </w:num>
  <w:num w:numId="24">
    <w:abstractNumId w:val="35"/>
  </w:num>
  <w:num w:numId="25">
    <w:abstractNumId w:val="32"/>
  </w:num>
  <w:num w:numId="26">
    <w:abstractNumId w:val="14"/>
  </w:num>
  <w:num w:numId="27">
    <w:abstractNumId w:val="24"/>
  </w:num>
  <w:num w:numId="28">
    <w:abstractNumId w:val="13"/>
  </w:num>
  <w:num w:numId="29">
    <w:abstractNumId w:val="0"/>
  </w:num>
  <w:num w:numId="30">
    <w:abstractNumId w:val="5"/>
  </w:num>
  <w:num w:numId="31">
    <w:abstractNumId w:val="33"/>
  </w:num>
  <w:num w:numId="32">
    <w:abstractNumId w:val="19"/>
  </w:num>
  <w:num w:numId="33">
    <w:abstractNumId w:val="36"/>
  </w:num>
  <w:num w:numId="34">
    <w:abstractNumId w:val="34"/>
  </w:num>
  <w:num w:numId="35">
    <w:abstractNumId w:val="31"/>
  </w:num>
  <w:num w:numId="36">
    <w:abstractNumId w:val="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47D2A"/>
    <w:rsid w:val="00072966"/>
    <w:rsid w:val="00073F0D"/>
    <w:rsid w:val="00085188"/>
    <w:rsid w:val="00090947"/>
    <w:rsid w:val="0009123A"/>
    <w:rsid w:val="000951B4"/>
    <w:rsid w:val="00095594"/>
    <w:rsid w:val="000A77B5"/>
    <w:rsid w:val="000A7B66"/>
    <w:rsid w:val="000C39C6"/>
    <w:rsid w:val="000D1743"/>
    <w:rsid w:val="000E57DB"/>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375C7"/>
    <w:rsid w:val="00260D6C"/>
    <w:rsid w:val="002620E9"/>
    <w:rsid w:val="00281310"/>
    <w:rsid w:val="0029712E"/>
    <w:rsid w:val="002C1F75"/>
    <w:rsid w:val="002D6857"/>
    <w:rsid w:val="002E1956"/>
    <w:rsid w:val="00317913"/>
    <w:rsid w:val="00333DB9"/>
    <w:rsid w:val="00343601"/>
    <w:rsid w:val="00346358"/>
    <w:rsid w:val="00346DBD"/>
    <w:rsid w:val="00347624"/>
    <w:rsid w:val="00367E00"/>
    <w:rsid w:val="003705BB"/>
    <w:rsid w:val="003747A5"/>
    <w:rsid w:val="00386688"/>
    <w:rsid w:val="00393E96"/>
    <w:rsid w:val="003973AC"/>
    <w:rsid w:val="003C4F79"/>
    <w:rsid w:val="003D7066"/>
    <w:rsid w:val="003D7B9E"/>
    <w:rsid w:val="00412952"/>
    <w:rsid w:val="00424DE3"/>
    <w:rsid w:val="00444048"/>
    <w:rsid w:val="00452F18"/>
    <w:rsid w:val="0046491C"/>
    <w:rsid w:val="00471ACB"/>
    <w:rsid w:val="0048490F"/>
    <w:rsid w:val="004C6BBF"/>
    <w:rsid w:val="00524356"/>
    <w:rsid w:val="00525DF2"/>
    <w:rsid w:val="00532410"/>
    <w:rsid w:val="00575478"/>
    <w:rsid w:val="005A3267"/>
    <w:rsid w:val="005D395D"/>
    <w:rsid w:val="005D4F74"/>
    <w:rsid w:val="005F6A90"/>
    <w:rsid w:val="00634736"/>
    <w:rsid w:val="00643C7E"/>
    <w:rsid w:val="00644913"/>
    <w:rsid w:val="006728FD"/>
    <w:rsid w:val="0069498B"/>
    <w:rsid w:val="006D268B"/>
    <w:rsid w:val="00702BD9"/>
    <w:rsid w:val="00717C0D"/>
    <w:rsid w:val="0072136B"/>
    <w:rsid w:val="00755DD7"/>
    <w:rsid w:val="0076241F"/>
    <w:rsid w:val="00770016"/>
    <w:rsid w:val="00777181"/>
    <w:rsid w:val="007872D1"/>
    <w:rsid w:val="00790E37"/>
    <w:rsid w:val="007A7FAD"/>
    <w:rsid w:val="007C43FB"/>
    <w:rsid w:val="007C524C"/>
    <w:rsid w:val="007D1488"/>
    <w:rsid w:val="00814E97"/>
    <w:rsid w:val="00816C18"/>
    <w:rsid w:val="00817341"/>
    <w:rsid w:val="0082452E"/>
    <w:rsid w:val="0083373E"/>
    <w:rsid w:val="008361CA"/>
    <w:rsid w:val="008460C4"/>
    <w:rsid w:val="00847389"/>
    <w:rsid w:val="00850252"/>
    <w:rsid w:val="00856FA1"/>
    <w:rsid w:val="008702E8"/>
    <w:rsid w:val="008822B3"/>
    <w:rsid w:val="008858F1"/>
    <w:rsid w:val="008911CF"/>
    <w:rsid w:val="008977B4"/>
    <w:rsid w:val="008B02A9"/>
    <w:rsid w:val="008B03B6"/>
    <w:rsid w:val="008E1DCC"/>
    <w:rsid w:val="008F3E81"/>
    <w:rsid w:val="00900E75"/>
    <w:rsid w:val="00902248"/>
    <w:rsid w:val="009156AC"/>
    <w:rsid w:val="00927C4F"/>
    <w:rsid w:val="00935EF4"/>
    <w:rsid w:val="00937AD9"/>
    <w:rsid w:val="00937D7D"/>
    <w:rsid w:val="0094239C"/>
    <w:rsid w:val="00950792"/>
    <w:rsid w:val="00975456"/>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62245"/>
    <w:rsid w:val="00B8686D"/>
    <w:rsid w:val="00B951FF"/>
    <w:rsid w:val="00BA646E"/>
    <w:rsid w:val="00BC7B0C"/>
    <w:rsid w:val="00BF2070"/>
    <w:rsid w:val="00BF3534"/>
    <w:rsid w:val="00C3709F"/>
    <w:rsid w:val="00C41CE1"/>
    <w:rsid w:val="00C55BF5"/>
    <w:rsid w:val="00C60111"/>
    <w:rsid w:val="00C7250F"/>
    <w:rsid w:val="00C762C7"/>
    <w:rsid w:val="00C83F86"/>
    <w:rsid w:val="00C872FA"/>
    <w:rsid w:val="00C901A6"/>
    <w:rsid w:val="00CE0823"/>
    <w:rsid w:val="00CF176A"/>
    <w:rsid w:val="00CF2F92"/>
    <w:rsid w:val="00CF52FE"/>
    <w:rsid w:val="00D1242B"/>
    <w:rsid w:val="00D15396"/>
    <w:rsid w:val="00D23B79"/>
    <w:rsid w:val="00D33AF9"/>
    <w:rsid w:val="00D363F7"/>
    <w:rsid w:val="00D5296C"/>
    <w:rsid w:val="00D72985"/>
    <w:rsid w:val="00D7508B"/>
    <w:rsid w:val="00DB7D4E"/>
    <w:rsid w:val="00DE67B1"/>
    <w:rsid w:val="00DF6F7E"/>
    <w:rsid w:val="00E34F08"/>
    <w:rsid w:val="00E61AB8"/>
    <w:rsid w:val="00E705BA"/>
    <w:rsid w:val="00E706DA"/>
    <w:rsid w:val="00E83E93"/>
    <w:rsid w:val="00E90EB5"/>
    <w:rsid w:val="00E94FBF"/>
    <w:rsid w:val="00EF0C2D"/>
    <w:rsid w:val="00F07862"/>
    <w:rsid w:val="00F45161"/>
    <w:rsid w:val="00F46E78"/>
    <w:rsid w:val="00F5642A"/>
    <w:rsid w:val="00F747F8"/>
    <w:rsid w:val="00F857BC"/>
    <w:rsid w:val="00FC5012"/>
    <w:rsid w:val="00FF0F06"/>
    <w:rsid w:val="00FF2C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70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29712E"/>
  </w:style>
  <w:style w:type="character" w:customStyle="1" w:styleId="Ttulo2Car">
    <w:name w:val="Título 2 Car"/>
    <w:basedOn w:val="Fuentedeprrafopredeter"/>
    <w:link w:val="Ttulo2"/>
    <w:uiPriority w:val="9"/>
    <w:rsid w:val="003D706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3D70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308A-0328-4797-A589-528A943E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6132</Words>
  <Characters>33729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2019-03-29T18:36:00Z</cp:lastPrinted>
  <dcterms:created xsi:type="dcterms:W3CDTF">2019-04-02T23:46:00Z</dcterms:created>
  <dcterms:modified xsi:type="dcterms:W3CDTF">2019-04-02T23:46:00Z</dcterms:modified>
</cp:coreProperties>
</file>